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8FA1" w14:textId="77777777" w:rsidR="0068462B" w:rsidRPr="0068462B" w:rsidRDefault="0068462B" w:rsidP="0068462B">
      <w:pPr>
        <w:spacing w:before="60" w:after="60" w:line="276" w:lineRule="auto"/>
        <w:jc w:val="both"/>
        <w:rPr>
          <w:rFonts w:ascii="Times New Roman" w:hAnsi="Times New Roman" w:cs="Times New Roman"/>
          <w:b/>
          <w:sz w:val="26"/>
          <w:szCs w:val="26"/>
          <w:lang w:val="vi-VN"/>
        </w:rPr>
      </w:pPr>
      <w:r w:rsidRPr="0068462B">
        <w:rPr>
          <w:rFonts w:ascii="Times New Roman" w:hAnsi="Times New Roman" w:cs="Times New Roman"/>
          <w:b/>
          <w:bCs/>
          <w:sz w:val="26"/>
          <w:szCs w:val="26"/>
          <w:lang w:val="vi-VN"/>
        </w:rPr>
        <w:t xml:space="preserve">Mục </w:t>
      </w:r>
      <w:r w:rsidRPr="0068462B">
        <w:rPr>
          <w:rFonts w:ascii="Times New Roman" w:hAnsi="Times New Roman" w:cs="Times New Roman"/>
          <w:b/>
          <w:bCs/>
          <w:sz w:val="26"/>
          <w:szCs w:val="26"/>
          <w:lang w:val="pl-PL"/>
        </w:rPr>
        <w:t>3</w:t>
      </w:r>
      <w:r w:rsidRPr="0068462B">
        <w:rPr>
          <w:rFonts w:ascii="Times New Roman" w:hAnsi="Times New Roman" w:cs="Times New Roman"/>
          <w:b/>
          <w:bCs/>
          <w:sz w:val="26"/>
          <w:szCs w:val="26"/>
          <w:lang w:val="vi-VN"/>
        </w:rPr>
        <w:t>. Tiêu chuẩn đánh giá về kỹ thuật</w:t>
      </w:r>
      <w:r w:rsidRPr="0068462B">
        <w:rPr>
          <w:rFonts w:ascii="Times New Roman" w:hAnsi="Times New Roman" w:cs="Times New Roman"/>
          <w:b/>
          <w:sz w:val="26"/>
          <w:szCs w:val="26"/>
          <w:lang w:val="vi-VN"/>
        </w:rPr>
        <w:t xml:space="preserve"> </w:t>
      </w:r>
    </w:p>
    <w:p w14:paraId="61F79C24"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bookmarkStart w:id="0" w:name="_Hlk99723051"/>
      <w:r w:rsidRPr="0068462B">
        <w:rPr>
          <w:rFonts w:ascii="Times New Roman" w:hAnsi="Times New Roman" w:cs="Times New Roman"/>
          <w:sz w:val="26"/>
          <w:szCs w:val="26"/>
          <w:lang w:val="vi-VN"/>
        </w:rPr>
        <w:t>Việc xây dựng tiêu chuẩn đánh giá về kỹ thuật dựa trên yêu cầu về các sản phẩm đầu ra được nêu tại Chương V</w:t>
      </w:r>
      <w:r w:rsidRPr="0068462B">
        <w:rPr>
          <w:rFonts w:ascii="Times New Roman" w:hAnsi="Times New Roman" w:cs="Times New Roman"/>
          <w:sz w:val="26"/>
          <w:szCs w:val="26"/>
          <w:lang w:val="nl-NL"/>
        </w:rPr>
        <w:t xml:space="preserve">, </w:t>
      </w:r>
      <w:r w:rsidRPr="0068462B">
        <w:rPr>
          <w:rFonts w:ascii="Times New Roman" w:hAnsi="Times New Roman" w:cs="Times New Roman"/>
          <w:sz w:val="26"/>
          <w:szCs w:val="26"/>
          <w:lang w:val="vi-VN"/>
        </w:rPr>
        <w:t>thông tin về kết quả thực hiện hợp đồng của nhà thầu theo quy định tại Điều 19 và Điều 20 của Nghị định số 214/2025/NĐ-CP</w:t>
      </w:r>
      <w:r w:rsidRPr="0068462B">
        <w:rPr>
          <w:rFonts w:ascii="Times New Roman" w:hAnsi="Times New Roman" w:cs="Times New Roman"/>
          <w:sz w:val="26"/>
          <w:szCs w:val="26"/>
          <w:lang w:val="nl-NL"/>
        </w:rPr>
        <w:t xml:space="preserve"> và các yêu cầu khác nêu trong </w:t>
      </w:r>
      <w:bookmarkStart w:id="1" w:name="_Hlk161851530"/>
      <w:r w:rsidRPr="0068462B">
        <w:rPr>
          <w:rFonts w:ascii="Times New Roman" w:hAnsi="Times New Roman" w:cs="Times New Roman"/>
          <w:sz w:val="26"/>
          <w:szCs w:val="26"/>
          <w:lang w:val="vi-VN"/>
        </w:rPr>
        <w:t>E-HSMT</w:t>
      </w:r>
      <w:bookmarkEnd w:id="1"/>
      <w:r w:rsidRPr="0068462B">
        <w:rPr>
          <w:rFonts w:ascii="Times New Roman" w:hAnsi="Times New Roman" w:cs="Times New Roman"/>
          <w:sz w:val="26"/>
          <w:szCs w:val="26"/>
          <w:lang w:val="vi-VN"/>
        </w:rPr>
        <w:t xml:space="preserve">. Căn cứ vào từng gói thầu cụ thể, khi lập E-HSMT, Chủ đầu tư phải cụ thể hóa các tiêu chí làm cơ sở đánh giá về kỹ thuật bao gồm: </w:t>
      </w:r>
    </w:p>
    <w:p w14:paraId="732E09A3"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Tính hiệu quả của việc cung cấp dịch vụ;</w:t>
      </w:r>
    </w:p>
    <w:p w14:paraId="48349605"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Mức độ hiểu biết về tính chất và mục đích công việc;</w:t>
      </w:r>
    </w:p>
    <w:p w14:paraId="246C158F"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Tính hợp lý và khả thi của kế hoạch, các giải pháp kỹ thuật, biện pháp tổ chức cung cấp dịch vụ;</w:t>
      </w:r>
    </w:p>
    <w:p w14:paraId="6183DD53"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Mức độ đáp ứng hệ thống đảm bảo chất lượng và phương pháp thực hiện;</w:t>
      </w:r>
    </w:p>
    <w:p w14:paraId="1ACE92D8"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Mức độ đáp ứng các yêu cầu về tiêu chuẩn thực hiện dịch vụ;</w:t>
      </w:r>
    </w:p>
    <w:p w14:paraId="01E42C35"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Tiến độ thực hiện gói thầu đáp ứng yêu cầu của E-HSMT;</w:t>
      </w:r>
    </w:p>
    <w:p w14:paraId="2980A886"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Bảo đảm điều kiện vệ sinh môi trường và các điều kiện khác như phòng cháy, chữa cháy, an toàn lao động (nếu có);</w:t>
      </w:r>
    </w:p>
    <w:p w14:paraId="47CDEA28"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Mức độ đáp ứng các yêu cầu về bảo hành, bảo trì (nếu có);</w:t>
      </w:r>
    </w:p>
    <w:p w14:paraId="419CEA55"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xml:space="preserve">- Tiêu chí đấu thầu bền vững (nếu có): các yếu tố thân thiện môi trường (nếu có) như: việc sử dụng các vật tư, vật liệu; biện pháp tổ chức thi công; dây chuyền, công nghệ thi công và các yếu tố khác (nếu có); </w:t>
      </w:r>
    </w:p>
    <w:p w14:paraId="3BD684A3"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xml:space="preserve"> </w:t>
      </w:r>
      <w:bookmarkStart w:id="2" w:name="_Hlk154351167"/>
      <w:r w:rsidRPr="0068462B">
        <w:rPr>
          <w:rFonts w:ascii="Times New Roman" w:hAnsi="Times New Roman" w:cs="Times New Roman"/>
          <w:sz w:val="26"/>
          <w:szCs w:val="26"/>
          <w:lang w:val="vi-VN"/>
        </w:rPr>
        <w:t>- Thông tin về kết quả thực hiện hợp đồng của nhà thầu theo quy định tại Điều 19 và Điều 20 của Nghị định số 214/2025/NĐ-CP;</w:t>
      </w:r>
    </w:p>
    <w:p w14:paraId="2FAB3F2D"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0"/>
    <w:bookmarkEnd w:id="2"/>
    <w:p w14:paraId="1500A4E9" w14:textId="77777777" w:rsidR="0068462B" w:rsidRPr="0068462B" w:rsidRDefault="0068462B" w:rsidP="0068462B">
      <w:pPr>
        <w:spacing w:before="60" w:after="60" w:line="276" w:lineRule="auto"/>
        <w:jc w:val="both"/>
        <w:rPr>
          <w:rFonts w:ascii="Times New Roman" w:hAnsi="Times New Roman" w:cs="Times New Roman"/>
          <w:sz w:val="26"/>
          <w:szCs w:val="26"/>
        </w:rPr>
      </w:pPr>
      <w:r w:rsidRPr="0068462B">
        <w:rPr>
          <w:rFonts w:ascii="Times New Roman" w:hAnsi="Times New Roman" w:cs="Times New Roman"/>
          <w:b/>
          <w:iCs/>
          <w:sz w:val="26"/>
          <w:szCs w:val="26"/>
        </w:rPr>
        <w:t>3.2. Đánh giá theo phương pháp đạt/không đạt</w:t>
      </w:r>
      <w:r w:rsidRPr="0068462B">
        <w:rPr>
          <w:rFonts w:ascii="Times New Roman" w:hAnsi="Times New Roman" w:cs="Times New Roman"/>
          <w:b/>
          <w:iCs/>
          <w:sz w:val="26"/>
          <w:szCs w:val="26"/>
          <w:vertAlign w:val="superscript"/>
        </w:rPr>
        <w:footnoteReference w:id="1"/>
      </w:r>
      <w:r w:rsidRPr="0068462B">
        <w:rPr>
          <w:rFonts w:ascii="Times New Roman" w:hAnsi="Times New Roman" w:cs="Times New Roman"/>
          <w:b/>
          <w:sz w:val="26"/>
          <w:szCs w:val="26"/>
        </w:rPr>
        <w:t>:</w:t>
      </w:r>
    </w:p>
    <w:p w14:paraId="54C34082"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18E9F1B" w14:textId="77777777" w:rsidR="0068462B" w:rsidRPr="0068462B" w:rsidRDefault="0068462B" w:rsidP="0068462B">
      <w:pPr>
        <w:spacing w:before="60" w:after="60" w:line="276" w:lineRule="auto"/>
        <w:ind w:firstLine="567"/>
        <w:jc w:val="both"/>
        <w:rPr>
          <w:rFonts w:ascii="Times New Roman" w:hAnsi="Times New Roman" w:cs="Times New Roman"/>
          <w:sz w:val="26"/>
          <w:szCs w:val="26"/>
          <w:lang w:val="vi-VN"/>
        </w:rPr>
      </w:pPr>
      <w:r w:rsidRPr="0068462B">
        <w:rPr>
          <w:rFonts w:ascii="Times New Roman" w:hAnsi="Times New Roman" w:cs="Times New Roman"/>
          <w:sz w:val="26"/>
          <w:szCs w:val="26"/>
          <w:lang w:val="vi-VN"/>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14:paraId="377AAD85" w14:textId="0536B739" w:rsidR="0068462B" w:rsidRDefault="0068462B" w:rsidP="0068462B">
      <w:pPr>
        <w:spacing w:before="60" w:after="60" w:line="276" w:lineRule="auto"/>
        <w:ind w:firstLine="567"/>
        <w:jc w:val="both"/>
        <w:rPr>
          <w:rFonts w:ascii="Times New Roman" w:hAnsi="Times New Roman" w:cs="Times New Roman"/>
          <w:sz w:val="26"/>
          <w:szCs w:val="26"/>
        </w:rPr>
      </w:pPr>
      <w:r w:rsidRPr="0068462B">
        <w:rPr>
          <w:rFonts w:ascii="Times New Roman" w:hAnsi="Times New Roman" w:cs="Times New Roman"/>
          <w:sz w:val="26"/>
          <w:szCs w:val="26"/>
          <w:lang w:val="vi-VN"/>
        </w:rPr>
        <w:t>E-HSDT được đánh giá là đáp ứng yêu cầu về kỹ thuật khi có tất cả các tiêu chí tổng quát đều được đánh giá là đạt.</w:t>
      </w:r>
    </w:p>
    <w:p w14:paraId="1CFF298B" w14:textId="77777777" w:rsidR="005B0D9F" w:rsidRPr="005B0D9F" w:rsidRDefault="005B0D9F" w:rsidP="0068462B">
      <w:pPr>
        <w:spacing w:before="60" w:after="60" w:line="276" w:lineRule="auto"/>
        <w:ind w:firstLine="567"/>
        <w:jc w:val="both"/>
        <w:rPr>
          <w:rFonts w:ascii="Times New Roman" w:hAnsi="Times New Roman" w:cs="Times New Roman"/>
          <w:sz w:val="26"/>
          <w:szCs w:val="2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077"/>
        <w:gridCol w:w="1413"/>
        <w:gridCol w:w="1843"/>
      </w:tblGrid>
      <w:tr w:rsidR="0068462B" w:rsidRPr="00DB5097" w14:paraId="67B15DBD" w14:textId="77777777" w:rsidTr="00367BD0">
        <w:tc>
          <w:tcPr>
            <w:tcW w:w="590" w:type="dxa"/>
            <w:vMerge w:val="restart"/>
            <w:vAlign w:val="center"/>
          </w:tcPr>
          <w:p w14:paraId="4A0507B6"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b/>
                <w:bCs/>
                <w:sz w:val="26"/>
                <w:szCs w:val="26"/>
              </w:rPr>
            </w:pPr>
            <w:r w:rsidRPr="00DB5097">
              <w:rPr>
                <w:rFonts w:ascii="Times New Roman" w:hAnsi="Times New Roman" w:cs="Times New Roman"/>
                <w:b/>
                <w:bCs/>
                <w:sz w:val="26"/>
                <w:szCs w:val="26"/>
              </w:rPr>
              <w:t>TT</w:t>
            </w:r>
          </w:p>
        </w:tc>
        <w:tc>
          <w:tcPr>
            <w:tcW w:w="6077" w:type="dxa"/>
            <w:vMerge w:val="restart"/>
            <w:vAlign w:val="center"/>
          </w:tcPr>
          <w:p w14:paraId="3E05B226"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b/>
                <w:bCs/>
                <w:sz w:val="26"/>
                <w:szCs w:val="26"/>
              </w:rPr>
            </w:pPr>
            <w:r w:rsidRPr="00DB5097">
              <w:rPr>
                <w:rFonts w:ascii="Times New Roman" w:hAnsi="Times New Roman" w:cs="Times New Roman"/>
                <w:b/>
                <w:bCs/>
                <w:sz w:val="26"/>
                <w:szCs w:val="26"/>
              </w:rPr>
              <w:t>Nội dung yêu cầu</w:t>
            </w:r>
          </w:p>
        </w:tc>
        <w:tc>
          <w:tcPr>
            <w:tcW w:w="3256" w:type="dxa"/>
            <w:gridSpan w:val="2"/>
            <w:vAlign w:val="center"/>
          </w:tcPr>
          <w:p w14:paraId="7B903E42"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b/>
                <w:bCs/>
                <w:sz w:val="26"/>
                <w:szCs w:val="26"/>
              </w:rPr>
            </w:pPr>
            <w:r w:rsidRPr="00DB5097">
              <w:rPr>
                <w:rFonts w:ascii="Times New Roman" w:hAnsi="Times New Roman" w:cs="Times New Roman"/>
                <w:b/>
                <w:bCs/>
                <w:sz w:val="26"/>
                <w:szCs w:val="26"/>
              </w:rPr>
              <w:t>Mức độ đáp ứng</w:t>
            </w:r>
          </w:p>
        </w:tc>
      </w:tr>
      <w:tr w:rsidR="0068462B" w:rsidRPr="00DB5097" w14:paraId="142A7EA5" w14:textId="77777777" w:rsidTr="00367BD0">
        <w:tc>
          <w:tcPr>
            <w:tcW w:w="590" w:type="dxa"/>
            <w:vMerge/>
            <w:vAlign w:val="center"/>
          </w:tcPr>
          <w:p w14:paraId="1A660DEE"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b/>
                <w:bCs/>
                <w:sz w:val="26"/>
                <w:szCs w:val="26"/>
              </w:rPr>
            </w:pPr>
          </w:p>
        </w:tc>
        <w:tc>
          <w:tcPr>
            <w:tcW w:w="6077" w:type="dxa"/>
            <w:vMerge/>
            <w:vAlign w:val="center"/>
          </w:tcPr>
          <w:p w14:paraId="58311703"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b/>
                <w:bCs/>
                <w:sz w:val="26"/>
                <w:szCs w:val="26"/>
              </w:rPr>
            </w:pPr>
          </w:p>
        </w:tc>
        <w:tc>
          <w:tcPr>
            <w:tcW w:w="1413" w:type="dxa"/>
            <w:vAlign w:val="center"/>
          </w:tcPr>
          <w:p w14:paraId="6E4CA6BA"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b/>
                <w:bCs/>
                <w:sz w:val="26"/>
                <w:szCs w:val="26"/>
              </w:rPr>
            </w:pPr>
            <w:r w:rsidRPr="00DB5097">
              <w:rPr>
                <w:rFonts w:ascii="Times New Roman" w:hAnsi="Times New Roman" w:cs="Times New Roman"/>
                <w:b/>
                <w:bCs/>
                <w:sz w:val="26"/>
                <w:szCs w:val="26"/>
              </w:rPr>
              <w:t>Đạt</w:t>
            </w:r>
          </w:p>
        </w:tc>
        <w:tc>
          <w:tcPr>
            <w:tcW w:w="1843" w:type="dxa"/>
            <w:vAlign w:val="center"/>
          </w:tcPr>
          <w:p w14:paraId="0DA52935"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b/>
                <w:bCs/>
                <w:sz w:val="26"/>
                <w:szCs w:val="26"/>
              </w:rPr>
            </w:pPr>
            <w:r w:rsidRPr="00DB5097">
              <w:rPr>
                <w:rFonts w:ascii="Times New Roman" w:hAnsi="Times New Roman" w:cs="Times New Roman"/>
                <w:b/>
                <w:bCs/>
                <w:sz w:val="26"/>
                <w:szCs w:val="26"/>
              </w:rPr>
              <w:t>Không đạt</w:t>
            </w:r>
          </w:p>
        </w:tc>
      </w:tr>
      <w:tr w:rsidR="0068462B" w:rsidRPr="00DB5097" w14:paraId="02DE1CFA" w14:textId="77777777" w:rsidTr="005B0D9F">
        <w:trPr>
          <w:trHeight w:val="556"/>
        </w:trPr>
        <w:tc>
          <w:tcPr>
            <w:tcW w:w="590" w:type="dxa"/>
            <w:vAlign w:val="center"/>
          </w:tcPr>
          <w:p w14:paraId="3D492FBF" w14:textId="77777777" w:rsidR="0068462B" w:rsidRPr="00BF5AB5" w:rsidRDefault="0068462B" w:rsidP="00367BD0">
            <w:pPr>
              <w:pStyle w:val="ListParagraph"/>
              <w:spacing w:before="60" w:after="60" w:line="276" w:lineRule="auto"/>
              <w:ind w:left="0"/>
              <w:contextualSpacing w:val="0"/>
              <w:jc w:val="center"/>
              <w:rPr>
                <w:rFonts w:ascii="Times New Roman" w:hAnsi="Times New Roman" w:cs="Times New Roman"/>
                <w:b/>
                <w:bCs/>
                <w:sz w:val="26"/>
                <w:szCs w:val="26"/>
              </w:rPr>
            </w:pPr>
            <w:r w:rsidRPr="00BF5AB5">
              <w:rPr>
                <w:rFonts w:ascii="Times New Roman" w:hAnsi="Times New Roman" w:cs="Times New Roman"/>
                <w:b/>
                <w:bCs/>
                <w:sz w:val="26"/>
                <w:szCs w:val="26"/>
              </w:rPr>
              <w:t>I</w:t>
            </w:r>
          </w:p>
        </w:tc>
        <w:tc>
          <w:tcPr>
            <w:tcW w:w="6077" w:type="dxa"/>
            <w:vAlign w:val="center"/>
          </w:tcPr>
          <w:p w14:paraId="3BB987E1" w14:textId="403134A3" w:rsidR="0068462B" w:rsidRPr="00BF5AB5" w:rsidRDefault="008E772C" w:rsidP="00AF1292">
            <w:pPr>
              <w:pStyle w:val="ListParagraph"/>
              <w:spacing w:before="60" w:after="60" w:line="276" w:lineRule="auto"/>
              <w:ind w:left="0"/>
              <w:contextualSpacing w:val="0"/>
              <w:jc w:val="both"/>
              <w:rPr>
                <w:rFonts w:ascii="Times New Roman" w:hAnsi="Times New Roman" w:cs="Times New Roman"/>
                <w:b/>
                <w:bCs/>
                <w:sz w:val="26"/>
                <w:szCs w:val="26"/>
              </w:rPr>
            </w:pPr>
            <w:r>
              <w:rPr>
                <w:rFonts w:ascii="Times New Roman" w:hAnsi="Times New Roman" w:cs="Times New Roman"/>
                <w:b/>
                <w:bCs/>
                <w:sz w:val="26"/>
                <w:szCs w:val="26"/>
              </w:rPr>
              <w:t>Nhân công</w:t>
            </w:r>
          </w:p>
        </w:tc>
        <w:tc>
          <w:tcPr>
            <w:tcW w:w="1413" w:type="dxa"/>
            <w:vAlign w:val="center"/>
          </w:tcPr>
          <w:p w14:paraId="579EA63E"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lang w:val="vi-VN"/>
              </w:rPr>
            </w:pPr>
          </w:p>
        </w:tc>
        <w:tc>
          <w:tcPr>
            <w:tcW w:w="1843" w:type="dxa"/>
            <w:vAlign w:val="center"/>
          </w:tcPr>
          <w:p w14:paraId="7C5C7AC0"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lang w:val="vi-VN"/>
              </w:rPr>
            </w:pPr>
          </w:p>
        </w:tc>
      </w:tr>
      <w:tr w:rsidR="004B66F7" w:rsidRPr="00DB5097" w14:paraId="35B3753B" w14:textId="77777777" w:rsidTr="005B0D9F">
        <w:trPr>
          <w:trHeight w:val="556"/>
        </w:trPr>
        <w:tc>
          <w:tcPr>
            <w:tcW w:w="590" w:type="dxa"/>
            <w:vAlign w:val="center"/>
          </w:tcPr>
          <w:p w14:paraId="0D14FCA1" w14:textId="77777777" w:rsidR="004B66F7" w:rsidRPr="008E772C" w:rsidRDefault="004B66F7" w:rsidP="004B66F7">
            <w:pPr>
              <w:pStyle w:val="ListParagraph"/>
              <w:spacing w:before="60" w:after="60" w:line="276" w:lineRule="auto"/>
              <w:ind w:left="0"/>
              <w:contextualSpacing w:val="0"/>
              <w:jc w:val="center"/>
              <w:rPr>
                <w:rFonts w:ascii="Times New Roman" w:hAnsi="Times New Roman" w:cs="Times New Roman"/>
                <w:b/>
                <w:bCs/>
                <w:sz w:val="26"/>
                <w:szCs w:val="26"/>
              </w:rPr>
            </w:pPr>
          </w:p>
        </w:tc>
        <w:tc>
          <w:tcPr>
            <w:tcW w:w="6077" w:type="dxa"/>
            <w:vAlign w:val="center"/>
          </w:tcPr>
          <w:p w14:paraId="76D817DA" w14:textId="5278F69B" w:rsidR="008E772C" w:rsidRPr="008E772C" w:rsidRDefault="008E772C" w:rsidP="008E772C">
            <w:pPr>
              <w:pStyle w:val="ListParagraph"/>
              <w:spacing w:before="60" w:after="60" w:line="276" w:lineRule="auto"/>
              <w:ind w:left="0"/>
              <w:contextualSpacing w:val="0"/>
              <w:jc w:val="both"/>
              <w:rPr>
                <w:rFonts w:ascii="Times New Roman" w:hAnsi="Times New Roman" w:cs="Times New Roman"/>
                <w:sz w:val="26"/>
                <w:szCs w:val="26"/>
              </w:rPr>
            </w:pPr>
            <w:r w:rsidRPr="008E772C">
              <w:rPr>
                <w:rFonts w:ascii="Times New Roman" w:hAnsi="Times New Roman" w:cs="Times New Roman"/>
                <w:sz w:val="26"/>
                <w:szCs w:val="26"/>
              </w:rPr>
              <w:t>Nhà thầu phải đính kèm theo E-HSMT bản scan màu từ bản</w:t>
            </w:r>
            <w:r>
              <w:rPr>
                <w:rFonts w:ascii="Times New Roman" w:hAnsi="Times New Roman" w:cs="Times New Roman"/>
                <w:sz w:val="26"/>
                <w:szCs w:val="26"/>
              </w:rPr>
              <w:t xml:space="preserve"> </w:t>
            </w:r>
            <w:r w:rsidRPr="008E772C">
              <w:rPr>
                <w:rFonts w:ascii="Times New Roman" w:hAnsi="Times New Roman" w:cs="Times New Roman"/>
                <w:sz w:val="26"/>
                <w:szCs w:val="26"/>
              </w:rPr>
              <w:t>gốc hoặc bản sao y chứng thực có thời hạn không quá 06</w:t>
            </w:r>
            <w:r>
              <w:rPr>
                <w:rFonts w:ascii="Times New Roman" w:hAnsi="Times New Roman" w:cs="Times New Roman"/>
                <w:sz w:val="26"/>
                <w:szCs w:val="26"/>
              </w:rPr>
              <w:t xml:space="preserve"> </w:t>
            </w:r>
            <w:r w:rsidRPr="008E772C">
              <w:rPr>
                <w:rFonts w:ascii="Times New Roman" w:hAnsi="Times New Roman" w:cs="Times New Roman"/>
                <w:sz w:val="26"/>
                <w:szCs w:val="26"/>
              </w:rPr>
              <w:t>tháng các tài liệu như sau:</w:t>
            </w:r>
          </w:p>
          <w:p w14:paraId="4960DB37" w14:textId="796D9D2A" w:rsidR="008E772C" w:rsidRPr="008E772C" w:rsidRDefault="008E772C" w:rsidP="008E772C">
            <w:pPr>
              <w:pStyle w:val="ListParagraph"/>
              <w:spacing w:before="60" w:after="60" w:line="276" w:lineRule="auto"/>
              <w:ind w:left="0"/>
              <w:contextualSpacing w:val="0"/>
              <w:jc w:val="both"/>
              <w:rPr>
                <w:rFonts w:ascii="Times New Roman" w:hAnsi="Times New Roman" w:cs="Times New Roman"/>
                <w:sz w:val="26"/>
                <w:szCs w:val="26"/>
              </w:rPr>
            </w:pPr>
            <w:r w:rsidRPr="008E772C">
              <w:rPr>
                <w:rFonts w:ascii="Times New Roman" w:hAnsi="Times New Roman" w:cs="Times New Roman"/>
                <w:sz w:val="26"/>
                <w:szCs w:val="26"/>
              </w:rPr>
              <w:t xml:space="preserve">1. </w:t>
            </w:r>
            <w:r w:rsidRPr="008E772C">
              <w:rPr>
                <w:rFonts w:ascii="Times New Roman" w:hAnsi="Times New Roman" w:cs="Times New Roman"/>
                <w:sz w:val="26"/>
                <w:szCs w:val="26"/>
              </w:rPr>
              <w:t>Thẻ</w:t>
            </w:r>
            <w:r w:rsidRPr="008E772C">
              <w:rPr>
                <w:rFonts w:ascii="Times New Roman" w:hAnsi="Times New Roman" w:cs="Times New Roman"/>
                <w:sz w:val="26"/>
                <w:szCs w:val="26"/>
              </w:rPr>
              <w:t xml:space="preserve"> căn cước;</w:t>
            </w:r>
          </w:p>
          <w:p w14:paraId="28C9B009" w14:textId="77777777" w:rsidR="008E772C" w:rsidRPr="008E772C" w:rsidRDefault="008E772C" w:rsidP="008E772C">
            <w:pPr>
              <w:pStyle w:val="ListParagraph"/>
              <w:spacing w:before="60" w:after="60" w:line="276" w:lineRule="auto"/>
              <w:ind w:left="0"/>
              <w:contextualSpacing w:val="0"/>
              <w:jc w:val="both"/>
              <w:rPr>
                <w:rFonts w:ascii="Times New Roman" w:hAnsi="Times New Roman" w:cs="Times New Roman"/>
                <w:sz w:val="26"/>
                <w:szCs w:val="26"/>
              </w:rPr>
            </w:pPr>
            <w:r w:rsidRPr="008E772C">
              <w:rPr>
                <w:rFonts w:ascii="Times New Roman" w:hAnsi="Times New Roman" w:cs="Times New Roman"/>
                <w:sz w:val="26"/>
                <w:szCs w:val="26"/>
              </w:rPr>
              <w:t>2. Hợp đồng lao động cơ hữu (hoặc thời vụ);</w:t>
            </w:r>
          </w:p>
          <w:p w14:paraId="7DF60C36" w14:textId="77777777" w:rsidR="008E772C" w:rsidRPr="008E772C" w:rsidRDefault="008E772C" w:rsidP="008E772C">
            <w:pPr>
              <w:pStyle w:val="ListParagraph"/>
              <w:spacing w:before="60" w:after="60" w:line="276" w:lineRule="auto"/>
              <w:ind w:left="0"/>
              <w:contextualSpacing w:val="0"/>
              <w:jc w:val="both"/>
              <w:rPr>
                <w:rFonts w:ascii="Times New Roman" w:hAnsi="Times New Roman" w:cs="Times New Roman"/>
                <w:sz w:val="26"/>
                <w:szCs w:val="26"/>
              </w:rPr>
            </w:pPr>
            <w:r w:rsidRPr="008E772C">
              <w:rPr>
                <w:rFonts w:ascii="Times New Roman" w:hAnsi="Times New Roman" w:cs="Times New Roman"/>
                <w:sz w:val="26"/>
                <w:szCs w:val="26"/>
              </w:rPr>
              <w:t>3. Giấy khám sức khoẻ đủ điều kiện lao động;</w:t>
            </w:r>
          </w:p>
          <w:p w14:paraId="6298AE98" w14:textId="77777777" w:rsidR="008E772C" w:rsidRPr="008E772C" w:rsidRDefault="008E772C" w:rsidP="008E772C">
            <w:pPr>
              <w:pStyle w:val="ListParagraph"/>
              <w:spacing w:before="60" w:after="60" w:line="276" w:lineRule="auto"/>
              <w:ind w:left="0"/>
              <w:contextualSpacing w:val="0"/>
              <w:jc w:val="both"/>
              <w:rPr>
                <w:rFonts w:ascii="Times New Roman" w:hAnsi="Times New Roman" w:cs="Times New Roman"/>
                <w:sz w:val="26"/>
                <w:szCs w:val="26"/>
              </w:rPr>
            </w:pPr>
            <w:r w:rsidRPr="008E772C">
              <w:rPr>
                <w:rFonts w:ascii="Times New Roman" w:hAnsi="Times New Roman" w:cs="Times New Roman"/>
                <w:sz w:val="26"/>
                <w:szCs w:val="26"/>
              </w:rPr>
              <w:t>4. Cam kết không sử dụng rượu bia, chất kích thích trong qua</w:t>
            </w:r>
            <w:r w:rsidRPr="008E772C">
              <w:rPr>
                <w:rFonts w:ascii="Times New Roman" w:hAnsi="Times New Roman" w:cs="Times New Roman"/>
                <w:sz w:val="26"/>
                <w:szCs w:val="26"/>
              </w:rPr>
              <w:t xml:space="preserve"> </w:t>
            </w:r>
            <w:r w:rsidRPr="008E772C">
              <w:rPr>
                <w:rFonts w:ascii="Times New Roman" w:hAnsi="Times New Roman" w:cs="Times New Roman"/>
                <w:sz w:val="26"/>
                <w:szCs w:val="26"/>
              </w:rPr>
              <w:t>trình làm việc; đảm bảo đạo đức nghề nghiệp, có hành vi ứng</w:t>
            </w:r>
            <w:r w:rsidRPr="008E772C">
              <w:rPr>
                <w:rFonts w:ascii="Times New Roman" w:hAnsi="Times New Roman" w:cs="Times New Roman"/>
                <w:sz w:val="26"/>
                <w:szCs w:val="26"/>
              </w:rPr>
              <w:t xml:space="preserve"> </w:t>
            </w:r>
            <w:r w:rsidRPr="008E772C">
              <w:rPr>
                <w:rFonts w:ascii="Times New Roman" w:hAnsi="Times New Roman" w:cs="Times New Roman"/>
                <w:sz w:val="26"/>
                <w:szCs w:val="26"/>
              </w:rPr>
              <w:t>xử chuẩn mực; xử lý ôn hoà khi có va chạm, phát sinh.</w:t>
            </w:r>
          </w:p>
          <w:p w14:paraId="792C6C8C" w14:textId="7D334DB7" w:rsidR="004B66F7" w:rsidRPr="008E772C" w:rsidRDefault="008E772C" w:rsidP="008E772C">
            <w:pPr>
              <w:pStyle w:val="ListParagraph"/>
              <w:spacing w:before="60" w:after="60" w:line="276" w:lineRule="auto"/>
              <w:ind w:left="0"/>
              <w:contextualSpacing w:val="0"/>
              <w:jc w:val="both"/>
              <w:rPr>
                <w:rFonts w:ascii="Times New Roman" w:hAnsi="Times New Roman" w:cs="Times New Roman"/>
              </w:rPr>
            </w:pPr>
            <w:r w:rsidRPr="008E772C">
              <w:rPr>
                <w:rFonts w:ascii="Times New Roman" w:hAnsi="Times New Roman" w:cs="Times New Roman"/>
                <w:sz w:val="26"/>
                <w:szCs w:val="26"/>
              </w:rPr>
              <w:t>5. Số lượng nhân công tối thiểu được nêu chi tiết trong</w:t>
            </w:r>
            <w:r w:rsidRPr="008E772C">
              <w:rPr>
                <w:rFonts w:ascii="Times New Roman" w:hAnsi="Times New Roman" w:cs="Times New Roman"/>
                <w:sz w:val="26"/>
                <w:szCs w:val="26"/>
              </w:rPr>
              <w:br/>
              <w:t>Chương V. Yêu cầu kỹ thuật</w:t>
            </w:r>
          </w:p>
        </w:tc>
        <w:tc>
          <w:tcPr>
            <w:tcW w:w="1413" w:type="dxa"/>
            <w:vAlign w:val="center"/>
          </w:tcPr>
          <w:p w14:paraId="384D42AD" w14:textId="6225BD38" w:rsidR="004B66F7" w:rsidRPr="00DB5097" w:rsidRDefault="004B66F7" w:rsidP="004B66F7">
            <w:pPr>
              <w:pStyle w:val="ListParagraph"/>
              <w:spacing w:before="60" w:after="60" w:line="276" w:lineRule="auto"/>
              <w:ind w:left="0"/>
              <w:contextualSpacing w:val="0"/>
              <w:rPr>
                <w:rFonts w:ascii="Times New Roman" w:hAnsi="Times New Roman" w:cs="Times New Roman"/>
                <w:sz w:val="26"/>
                <w:szCs w:val="26"/>
                <w:lang w:val="vi-VN"/>
              </w:rPr>
            </w:pPr>
            <w:r w:rsidRPr="00DB5097">
              <w:rPr>
                <w:rFonts w:ascii="Times New Roman" w:hAnsi="Times New Roman" w:cs="Times New Roman"/>
                <w:sz w:val="26"/>
                <w:szCs w:val="26"/>
              </w:rPr>
              <w:t>Đáp ứng tất cả các yêu cầu</w:t>
            </w:r>
          </w:p>
        </w:tc>
        <w:tc>
          <w:tcPr>
            <w:tcW w:w="1843" w:type="dxa"/>
            <w:vAlign w:val="center"/>
          </w:tcPr>
          <w:p w14:paraId="0703BE98" w14:textId="5CD8F33F" w:rsidR="004B66F7" w:rsidRPr="00DB5097" w:rsidRDefault="004B66F7" w:rsidP="004B66F7">
            <w:pPr>
              <w:pStyle w:val="ListParagraph"/>
              <w:spacing w:before="60" w:after="60" w:line="276" w:lineRule="auto"/>
              <w:ind w:left="0"/>
              <w:contextualSpacing w:val="0"/>
              <w:rPr>
                <w:rFonts w:ascii="Times New Roman" w:hAnsi="Times New Roman" w:cs="Times New Roman"/>
                <w:sz w:val="26"/>
                <w:szCs w:val="26"/>
                <w:lang w:val="vi-VN"/>
              </w:rPr>
            </w:pPr>
            <w:r w:rsidRPr="00DB5097">
              <w:rPr>
                <w:rFonts w:ascii="Times New Roman" w:hAnsi="Times New Roman" w:cs="Times New Roman"/>
                <w:sz w:val="26"/>
                <w:szCs w:val="26"/>
              </w:rPr>
              <w:t>Không đáp ứng hoặc đáp ứng không đầy đủ một trong các yêu cầu</w:t>
            </w:r>
          </w:p>
        </w:tc>
      </w:tr>
      <w:tr w:rsidR="00BA118F" w:rsidRPr="00DB5097" w14:paraId="75EB387D" w14:textId="77777777" w:rsidTr="005B0D9F">
        <w:trPr>
          <w:trHeight w:val="556"/>
        </w:trPr>
        <w:tc>
          <w:tcPr>
            <w:tcW w:w="590" w:type="dxa"/>
            <w:vAlign w:val="center"/>
          </w:tcPr>
          <w:p w14:paraId="6487F052" w14:textId="2383E3AE" w:rsidR="00BA118F" w:rsidRPr="00BF5AB5" w:rsidRDefault="00BA118F" w:rsidP="00BA118F">
            <w:pPr>
              <w:pStyle w:val="ListParagraph"/>
              <w:spacing w:before="60" w:after="60" w:line="276" w:lineRule="auto"/>
              <w:ind w:left="0"/>
              <w:contextualSpacing w:val="0"/>
              <w:jc w:val="center"/>
              <w:rPr>
                <w:rFonts w:ascii="Times New Roman" w:hAnsi="Times New Roman" w:cs="Times New Roman"/>
                <w:b/>
                <w:bCs/>
                <w:sz w:val="26"/>
                <w:szCs w:val="26"/>
              </w:rPr>
            </w:pPr>
            <w:r w:rsidRPr="00BF5AB5">
              <w:rPr>
                <w:rFonts w:ascii="Times New Roman" w:hAnsi="Times New Roman" w:cs="Times New Roman"/>
                <w:b/>
                <w:bCs/>
                <w:sz w:val="26"/>
                <w:szCs w:val="26"/>
              </w:rPr>
              <w:t>I</w:t>
            </w:r>
            <w:r>
              <w:rPr>
                <w:rFonts w:ascii="Times New Roman" w:hAnsi="Times New Roman" w:cs="Times New Roman"/>
                <w:b/>
                <w:bCs/>
                <w:sz w:val="26"/>
                <w:szCs w:val="26"/>
              </w:rPr>
              <w:t>I</w:t>
            </w:r>
          </w:p>
        </w:tc>
        <w:tc>
          <w:tcPr>
            <w:tcW w:w="6077" w:type="dxa"/>
            <w:vAlign w:val="center"/>
          </w:tcPr>
          <w:p w14:paraId="4E1B781E" w14:textId="1AD667AC" w:rsidR="00BA118F" w:rsidRDefault="008E772C" w:rsidP="00AF1292">
            <w:pPr>
              <w:pStyle w:val="ListParagraph"/>
              <w:spacing w:before="60" w:after="60" w:line="276" w:lineRule="auto"/>
              <w:ind w:left="0"/>
              <w:contextualSpacing w:val="0"/>
              <w:jc w:val="both"/>
              <w:rPr>
                <w:rFonts w:ascii="Times New Roman" w:hAnsi="Times New Roman" w:cs="Times New Roman"/>
                <w:b/>
                <w:bCs/>
                <w:sz w:val="26"/>
                <w:szCs w:val="26"/>
              </w:rPr>
            </w:pPr>
            <w:r>
              <w:rPr>
                <w:rFonts w:ascii="Times New Roman" w:hAnsi="Times New Roman" w:cs="Times New Roman"/>
                <w:b/>
                <w:bCs/>
                <w:sz w:val="26"/>
                <w:szCs w:val="26"/>
              </w:rPr>
              <w:t>Thiết bị, dụng cụ, vật tư</w:t>
            </w:r>
          </w:p>
        </w:tc>
        <w:tc>
          <w:tcPr>
            <w:tcW w:w="1413" w:type="dxa"/>
            <w:vAlign w:val="center"/>
          </w:tcPr>
          <w:p w14:paraId="0EDBFA2F" w14:textId="77777777" w:rsidR="00BA118F" w:rsidRPr="00DB5097" w:rsidRDefault="00BA118F" w:rsidP="00BA118F">
            <w:pPr>
              <w:pStyle w:val="ListParagraph"/>
              <w:spacing w:before="60" w:after="60" w:line="276" w:lineRule="auto"/>
              <w:ind w:left="0"/>
              <w:contextualSpacing w:val="0"/>
              <w:rPr>
                <w:rFonts w:ascii="Times New Roman" w:hAnsi="Times New Roman" w:cs="Times New Roman"/>
                <w:sz w:val="26"/>
                <w:szCs w:val="26"/>
                <w:lang w:val="vi-VN"/>
              </w:rPr>
            </w:pPr>
          </w:p>
        </w:tc>
        <w:tc>
          <w:tcPr>
            <w:tcW w:w="1843" w:type="dxa"/>
            <w:vAlign w:val="center"/>
          </w:tcPr>
          <w:p w14:paraId="2819840A" w14:textId="77777777" w:rsidR="00BA118F" w:rsidRPr="00DB5097" w:rsidRDefault="00BA118F" w:rsidP="00BA118F">
            <w:pPr>
              <w:pStyle w:val="ListParagraph"/>
              <w:spacing w:before="60" w:after="60" w:line="276" w:lineRule="auto"/>
              <w:ind w:left="0"/>
              <w:contextualSpacing w:val="0"/>
              <w:rPr>
                <w:rFonts w:ascii="Times New Roman" w:hAnsi="Times New Roman" w:cs="Times New Roman"/>
                <w:sz w:val="26"/>
                <w:szCs w:val="26"/>
                <w:lang w:val="vi-VN"/>
              </w:rPr>
            </w:pPr>
          </w:p>
        </w:tc>
      </w:tr>
      <w:tr w:rsidR="005B0D9F" w:rsidRPr="00DB5097" w14:paraId="65C6E650" w14:textId="77777777" w:rsidTr="00367BD0">
        <w:tc>
          <w:tcPr>
            <w:tcW w:w="590" w:type="dxa"/>
            <w:vAlign w:val="center"/>
          </w:tcPr>
          <w:p w14:paraId="7DF79D44" w14:textId="77777777" w:rsidR="005B0D9F" w:rsidRPr="00DB5097" w:rsidRDefault="005B0D9F" w:rsidP="005B0D9F">
            <w:pPr>
              <w:pStyle w:val="ListParagraph"/>
              <w:spacing w:before="60" w:after="60" w:line="276" w:lineRule="auto"/>
              <w:ind w:left="0"/>
              <w:contextualSpacing w:val="0"/>
              <w:rPr>
                <w:rFonts w:ascii="Times New Roman" w:hAnsi="Times New Roman" w:cs="Times New Roman"/>
                <w:sz w:val="26"/>
                <w:szCs w:val="26"/>
              </w:rPr>
            </w:pPr>
          </w:p>
        </w:tc>
        <w:tc>
          <w:tcPr>
            <w:tcW w:w="6077" w:type="dxa"/>
            <w:vAlign w:val="center"/>
          </w:tcPr>
          <w:p w14:paraId="67111A1D" w14:textId="3176AA86" w:rsidR="005B0D9F" w:rsidRPr="005B0D9F" w:rsidRDefault="005B0D9F" w:rsidP="00AF1292">
            <w:pPr>
              <w:pStyle w:val="ListParagraph"/>
              <w:spacing w:before="60" w:after="60" w:line="276" w:lineRule="auto"/>
              <w:ind w:left="0"/>
              <w:contextualSpacing w:val="0"/>
              <w:jc w:val="both"/>
              <w:rPr>
                <w:rFonts w:ascii="Times New Roman" w:hAnsi="Times New Roman" w:cs="Times New Roman"/>
                <w:sz w:val="26"/>
                <w:szCs w:val="26"/>
              </w:rPr>
            </w:pPr>
            <w:r w:rsidRPr="005B0D9F">
              <w:rPr>
                <w:rFonts w:ascii="Times New Roman" w:hAnsi="Times New Roman" w:cs="Times New Roman"/>
                <w:sz w:val="26"/>
                <w:szCs w:val="26"/>
              </w:rPr>
              <w:t xml:space="preserve">1. Nhà thầu phải nộp hồ sơ minh chứng sở hữu hoặc huy động </w:t>
            </w:r>
            <w:r>
              <w:rPr>
                <w:rFonts w:ascii="Times New Roman" w:hAnsi="Times New Roman" w:cs="Times New Roman"/>
                <w:sz w:val="26"/>
                <w:szCs w:val="26"/>
              </w:rPr>
              <w:t xml:space="preserve">máy móc, </w:t>
            </w:r>
            <w:r w:rsidRPr="005B0D9F">
              <w:rPr>
                <w:rFonts w:ascii="Times New Roman" w:hAnsi="Times New Roman" w:cs="Times New Roman"/>
                <w:sz w:val="26"/>
                <w:szCs w:val="26"/>
              </w:rPr>
              <w:t xml:space="preserve">thiết bị, </w:t>
            </w:r>
            <w:r>
              <w:rPr>
                <w:rFonts w:ascii="Times New Roman" w:hAnsi="Times New Roman" w:cs="Times New Roman"/>
                <w:sz w:val="26"/>
                <w:szCs w:val="26"/>
              </w:rPr>
              <w:t xml:space="preserve">vật tư </w:t>
            </w:r>
            <w:r w:rsidRPr="005B0D9F">
              <w:rPr>
                <w:rFonts w:ascii="Times New Roman" w:hAnsi="Times New Roman" w:cs="Times New Roman"/>
                <w:sz w:val="26"/>
                <w:szCs w:val="26"/>
              </w:rPr>
              <w:t xml:space="preserve">và cam kết khả năng thay thế khi có sự cố hư hỏng trong quá trình thực hiện gói thầu; </w:t>
            </w:r>
          </w:p>
          <w:p w14:paraId="1F592441" w14:textId="09537AFD" w:rsidR="005B0D9F" w:rsidRPr="00DB5097" w:rsidRDefault="005B0D9F" w:rsidP="00AF1292">
            <w:pPr>
              <w:pStyle w:val="ListParagraph"/>
              <w:spacing w:before="60" w:after="60" w:line="276" w:lineRule="auto"/>
              <w:ind w:left="0"/>
              <w:contextualSpacing w:val="0"/>
              <w:jc w:val="both"/>
              <w:rPr>
                <w:rFonts w:ascii="Times New Roman" w:hAnsi="Times New Roman" w:cs="Times New Roman"/>
                <w:sz w:val="26"/>
                <w:szCs w:val="26"/>
              </w:rPr>
            </w:pPr>
            <w:r w:rsidRPr="005B0D9F">
              <w:rPr>
                <w:rFonts w:ascii="Times New Roman" w:hAnsi="Times New Roman" w:cs="Times New Roman"/>
                <w:sz w:val="26"/>
                <w:szCs w:val="26"/>
              </w:rPr>
              <w:t xml:space="preserve">2. Toàn bộ máy móc thiết bị, vật tư, phương tiện phải hợp chuẩn, hợp </w:t>
            </w:r>
            <w:r>
              <w:rPr>
                <w:rFonts w:ascii="Times New Roman" w:hAnsi="Times New Roman" w:cs="Times New Roman"/>
                <w:sz w:val="26"/>
                <w:szCs w:val="26"/>
              </w:rPr>
              <w:t>quy</w:t>
            </w:r>
            <w:r w:rsidRPr="005B0D9F">
              <w:rPr>
                <w:rFonts w:ascii="Times New Roman" w:hAnsi="Times New Roman" w:cs="Times New Roman"/>
                <w:sz w:val="26"/>
                <w:szCs w:val="26"/>
              </w:rPr>
              <w:t xml:space="preserve"> và </w:t>
            </w:r>
            <w:r>
              <w:rPr>
                <w:rFonts w:ascii="Times New Roman" w:hAnsi="Times New Roman" w:cs="Times New Roman"/>
                <w:sz w:val="26"/>
                <w:szCs w:val="26"/>
              </w:rPr>
              <w:t>hợp pháp</w:t>
            </w:r>
            <w:r w:rsidRPr="005B0D9F">
              <w:rPr>
                <w:rFonts w:ascii="Times New Roman" w:hAnsi="Times New Roman" w:cs="Times New Roman"/>
                <w:sz w:val="26"/>
                <w:szCs w:val="26"/>
              </w:rPr>
              <w:t>.</w:t>
            </w:r>
          </w:p>
        </w:tc>
        <w:tc>
          <w:tcPr>
            <w:tcW w:w="1413" w:type="dxa"/>
            <w:vAlign w:val="center"/>
          </w:tcPr>
          <w:p w14:paraId="39D0907B" w14:textId="71AD79CD" w:rsidR="005B0D9F" w:rsidRPr="00DB5097" w:rsidRDefault="005B0D9F" w:rsidP="005B0D9F">
            <w:pPr>
              <w:pStyle w:val="ListParagraph"/>
              <w:spacing w:before="60" w:after="60" w:line="276" w:lineRule="auto"/>
              <w:ind w:left="0"/>
              <w:contextualSpacing w:val="0"/>
              <w:rPr>
                <w:rFonts w:ascii="Times New Roman" w:hAnsi="Times New Roman" w:cs="Times New Roman"/>
                <w:sz w:val="26"/>
                <w:szCs w:val="26"/>
              </w:rPr>
            </w:pPr>
            <w:r w:rsidRPr="005B0D9F">
              <w:rPr>
                <w:rFonts w:ascii="Times New Roman" w:hAnsi="Times New Roman" w:cs="Times New Roman"/>
                <w:sz w:val="26"/>
                <w:szCs w:val="26"/>
              </w:rPr>
              <w:t>Đáp ứng tất cả các yêu cầu</w:t>
            </w:r>
          </w:p>
        </w:tc>
        <w:tc>
          <w:tcPr>
            <w:tcW w:w="1843" w:type="dxa"/>
            <w:vAlign w:val="center"/>
          </w:tcPr>
          <w:p w14:paraId="1143815F" w14:textId="2726A3C9" w:rsidR="005B0D9F" w:rsidRPr="00DB5097" w:rsidRDefault="005B0D9F" w:rsidP="005B0D9F">
            <w:pPr>
              <w:pStyle w:val="ListParagraph"/>
              <w:spacing w:before="60" w:after="60" w:line="276" w:lineRule="auto"/>
              <w:ind w:left="0"/>
              <w:contextualSpacing w:val="0"/>
              <w:rPr>
                <w:rFonts w:ascii="Times New Roman" w:hAnsi="Times New Roman" w:cs="Times New Roman"/>
                <w:sz w:val="26"/>
                <w:szCs w:val="26"/>
              </w:rPr>
            </w:pPr>
            <w:r w:rsidRPr="005B0D9F">
              <w:rPr>
                <w:rFonts w:ascii="Times New Roman" w:hAnsi="Times New Roman" w:cs="Times New Roman"/>
                <w:sz w:val="26"/>
                <w:szCs w:val="26"/>
              </w:rPr>
              <w:t>Không đáp ứng hoặc đáp ứng không đầy đủ một trong các yêu cầu</w:t>
            </w:r>
          </w:p>
        </w:tc>
      </w:tr>
      <w:tr w:rsidR="0068462B" w:rsidRPr="00DB5097" w14:paraId="446DADD3" w14:textId="77777777" w:rsidTr="00367BD0">
        <w:tc>
          <w:tcPr>
            <w:tcW w:w="590" w:type="dxa"/>
            <w:vAlign w:val="center"/>
          </w:tcPr>
          <w:p w14:paraId="481BF9B5" w14:textId="4F3382B6" w:rsidR="0068462B" w:rsidRPr="00BF5AB5" w:rsidRDefault="0068462B" w:rsidP="00367BD0">
            <w:pPr>
              <w:pStyle w:val="ListParagraph"/>
              <w:spacing w:before="60" w:after="60" w:line="276" w:lineRule="auto"/>
              <w:ind w:left="0"/>
              <w:contextualSpacing w:val="0"/>
              <w:rPr>
                <w:rFonts w:ascii="Times New Roman" w:hAnsi="Times New Roman" w:cs="Times New Roman"/>
                <w:b/>
                <w:bCs/>
                <w:sz w:val="26"/>
                <w:szCs w:val="26"/>
              </w:rPr>
            </w:pPr>
            <w:r w:rsidRPr="00BF5AB5">
              <w:rPr>
                <w:rFonts w:ascii="Times New Roman" w:hAnsi="Times New Roman" w:cs="Times New Roman"/>
                <w:b/>
                <w:bCs/>
                <w:sz w:val="26"/>
                <w:szCs w:val="26"/>
              </w:rPr>
              <w:t>I</w:t>
            </w:r>
            <w:r w:rsidR="00BA118F">
              <w:rPr>
                <w:rFonts w:ascii="Times New Roman" w:hAnsi="Times New Roman" w:cs="Times New Roman"/>
                <w:b/>
                <w:bCs/>
                <w:sz w:val="26"/>
                <w:szCs w:val="26"/>
              </w:rPr>
              <w:t>V</w:t>
            </w:r>
          </w:p>
        </w:tc>
        <w:tc>
          <w:tcPr>
            <w:tcW w:w="6077" w:type="dxa"/>
            <w:vAlign w:val="center"/>
          </w:tcPr>
          <w:p w14:paraId="74476C1E" w14:textId="09F892EE" w:rsidR="0068462B" w:rsidRPr="00BF5AB5" w:rsidRDefault="0068462B" w:rsidP="00AF1292">
            <w:pPr>
              <w:pStyle w:val="ListParagraph"/>
              <w:spacing w:before="60" w:after="60" w:line="276" w:lineRule="auto"/>
              <w:ind w:left="0"/>
              <w:contextualSpacing w:val="0"/>
              <w:jc w:val="both"/>
              <w:rPr>
                <w:rFonts w:ascii="Times New Roman" w:hAnsi="Times New Roman" w:cs="Times New Roman"/>
                <w:b/>
                <w:bCs/>
                <w:sz w:val="26"/>
                <w:szCs w:val="26"/>
              </w:rPr>
            </w:pPr>
            <w:r w:rsidRPr="00BF5AB5">
              <w:rPr>
                <w:rFonts w:ascii="Times New Roman" w:hAnsi="Times New Roman" w:cs="Times New Roman"/>
                <w:b/>
                <w:bCs/>
                <w:sz w:val="26"/>
                <w:szCs w:val="26"/>
              </w:rPr>
              <w:t>Giải pháp và phương pháp luận tổng quát do nhà thầu đề xuất để thực hiện nhiệm vụ</w:t>
            </w:r>
            <w:r w:rsidR="00EA3127">
              <w:rPr>
                <w:rFonts w:ascii="Times New Roman" w:hAnsi="Times New Roman" w:cs="Times New Roman"/>
                <w:b/>
                <w:bCs/>
                <w:sz w:val="26"/>
                <w:szCs w:val="26"/>
              </w:rPr>
              <w:t xml:space="preserve"> </w:t>
            </w:r>
            <w:r w:rsidR="00EA3127" w:rsidRPr="00AF1292">
              <w:rPr>
                <w:rFonts w:ascii="Times New Roman" w:hAnsi="Times New Roman" w:cs="Times New Roman"/>
                <w:b/>
                <w:bCs/>
                <w:i/>
                <w:iCs/>
              </w:rPr>
              <w:t>(Nhà thầu phải trình bày riêng biệt từng nội dung, không được lồng ghép</w:t>
            </w:r>
            <w:r w:rsidR="00AF1292" w:rsidRPr="00AF1292">
              <w:rPr>
                <w:rFonts w:ascii="Times New Roman" w:hAnsi="Times New Roman" w:cs="Times New Roman"/>
                <w:b/>
                <w:bCs/>
                <w:i/>
                <w:iCs/>
              </w:rPr>
              <w:t>)</w:t>
            </w:r>
          </w:p>
        </w:tc>
        <w:tc>
          <w:tcPr>
            <w:tcW w:w="1413" w:type="dxa"/>
            <w:vAlign w:val="center"/>
          </w:tcPr>
          <w:p w14:paraId="730BB328"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c>
          <w:tcPr>
            <w:tcW w:w="1843" w:type="dxa"/>
            <w:vAlign w:val="center"/>
          </w:tcPr>
          <w:p w14:paraId="22E4F3E7"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r>
      <w:tr w:rsidR="0068462B" w:rsidRPr="00DB5097" w14:paraId="4EA0F5C0" w14:textId="77777777" w:rsidTr="00367BD0">
        <w:tc>
          <w:tcPr>
            <w:tcW w:w="590" w:type="dxa"/>
            <w:vAlign w:val="center"/>
          </w:tcPr>
          <w:p w14:paraId="3EB24760"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sz w:val="26"/>
                <w:szCs w:val="26"/>
              </w:rPr>
            </w:pPr>
            <w:r w:rsidRPr="00DB5097">
              <w:rPr>
                <w:rFonts w:ascii="Times New Roman" w:hAnsi="Times New Roman" w:cs="Times New Roman"/>
                <w:sz w:val="26"/>
                <w:szCs w:val="26"/>
              </w:rPr>
              <w:t>1</w:t>
            </w:r>
          </w:p>
        </w:tc>
        <w:tc>
          <w:tcPr>
            <w:tcW w:w="6077" w:type="dxa"/>
            <w:vAlign w:val="center"/>
          </w:tcPr>
          <w:p w14:paraId="586911E7" w14:textId="63112633"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Mức độ hiểu biết về tính chất, mục đích công việc: hiểu rõ gói thầu và trình bày chi tiết từng vấn đề</w:t>
            </w:r>
          </w:p>
        </w:tc>
        <w:tc>
          <w:tcPr>
            <w:tcW w:w="1413" w:type="dxa"/>
            <w:vMerge w:val="restart"/>
            <w:vAlign w:val="center"/>
          </w:tcPr>
          <w:p w14:paraId="51E0B790"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r w:rsidRPr="00DB5097">
              <w:rPr>
                <w:rFonts w:ascii="Times New Roman" w:hAnsi="Times New Roman" w:cs="Times New Roman"/>
                <w:sz w:val="26"/>
                <w:szCs w:val="26"/>
              </w:rPr>
              <w:t>Đáp ứng tất cả các yêu cầu</w:t>
            </w:r>
          </w:p>
        </w:tc>
        <w:tc>
          <w:tcPr>
            <w:tcW w:w="1843" w:type="dxa"/>
            <w:vMerge w:val="restart"/>
            <w:vAlign w:val="center"/>
          </w:tcPr>
          <w:p w14:paraId="34EEF7B0"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r w:rsidRPr="00DB5097">
              <w:rPr>
                <w:rFonts w:ascii="Times New Roman" w:hAnsi="Times New Roman" w:cs="Times New Roman"/>
                <w:sz w:val="26"/>
                <w:szCs w:val="26"/>
              </w:rPr>
              <w:t>Không đáp ứng hoặc đáp ứng không đầy đủ một trong các yêu cầu</w:t>
            </w:r>
          </w:p>
        </w:tc>
      </w:tr>
      <w:tr w:rsidR="0068462B" w:rsidRPr="00DB5097" w14:paraId="6F941B04" w14:textId="77777777" w:rsidTr="00367BD0">
        <w:tc>
          <w:tcPr>
            <w:tcW w:w="590" w:type="dxa"/>
            <w:vAlign w:val="center"/>
          </w:tcPr>
          <w:p w14:paraId="1000A649"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sz w:val="26"/>
                <w:szCs w:val="26"/>
              </w:rPr>
            </w:pPr>
            <w:r w:rsidRPr="00DB5097">
              <w:rPr>
                <w:rFonts w:ascii="Times New Roman" w:hAnsi="Times New Roman" w:cs="Times New Roman"/>
                <w:sz w:val="26"/>
                <w:szCs w:val="26"/>
              </w:rPr>
              <w:t>2</w:t>
            </w:r>
          </w:p>
        </w:tc>
        <w:tc>
          <w:tcPr>
            <w:tcW w:w="6077" w:type="dxa"/>
            <w:vAlign w:val="center"/>
          </w:tcPr>
          <w:p w14:paraId="03F808B4" w14:textId="23F36BD7"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Kế hoạch, giải pháp, biện pháp tổ chức cung cấp dịch vụ</w:t>
            </w:r>
          </w:p>
        </w:tc>
        <w:tc>
          <w:tcPr>
            <w:tcW w:w="1413" w:type="dxa"/>
            <w:vMerge/>
            <w:vAlign w:val="center"/>
          </w:tcPr>
          <w:p w14:paraId="5D728E1F"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c>
          <w:tcPr>
            <w:tcW w:w="1843" w:type="dxa"/>
            <w:vMerge/>
            <w:vAlign w:val="center"/>
          </w:tcPr>
          <w:p w14:paraId="0EC325F7"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r>
      <w:tr w:rsidR="0068462B" w:rsidRPr="00DB5097" w14:paraId="705199E6" w14:textId="77777777" w:rsidTr="00367BD0">
        <w:tc>
          <w:tcPr>
            <w:tcW w:w="590" w:type="dxa"/>
            <w:vAlign w:val="center"/>
          </w:tcPr>
          <w:p w14:paraId="378CE29D"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sz w:val="26"/>
                <w:szCs w:val="26"/>
              </w:rPr>
            </w:pPr>
            <w:r w:rsidRPr="00DB5097">
              <w:rPr>
                <w:rFonts w:ascii="Times New Roman" w:hAnsi="Times New Roman" w:cs="Times New Roman"/>
                <w:sz w:val="26"/>
                <w:szCs w:val="26"/>
              </w:rPr>
              <w:t>3</w:t>
            </w:r>
          </w:p>
        </w:tc>
        <w:tc>
          <w:tcPr>
            <w:tcW w:w="6077" w:type="dxa"/>
            <w:vAlign w:val="center"/>
          </w:tcPr>
          <w:p w14:paraId="32DE83B8" w14:textId="77777777"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Hệ thống đảm bảo chất lượng, phương pháp thực hiện đảm bảo chất lượng cung cấp dịch vụ: có phương pháp đảm bảo chất lượng cụ thể, chi tiết, hợp lý.</w:t>
            </w:r>
          </w:p>
        </w:tc>
        <w:tc>
          <w:tcPr>
            <w:tcW w:w="1413" w:type="dxa"/>
            <w:vMerge/>
            <w:vAlign w:val="center"/>
          </w:tcPr>
          <w:p w14:paraId="1D6FE5CA"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c>
          <w:tcPr>
            <w:tcW w:w="1843" w:type="dxa"/>
            <w:vMerge/>
            <w:vAlign w:val="center"/>
          </w:tcPr>
          <w:p w14:paraId="68CF35D8"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r>
      <w:tr w:rsidR="0068462B" w:rsidRPr="00DB5097" w14:paraId="39A147B9" w14:textId="77777777" w:rsidTr="00367BD0">
        <w:tc>
          <w:tcPr>
            <w:tcW w:w="590" w:type="dxa"/>
            <w:vAlign w:val="center"/>
          </w:tcPr>
          <w:p w14:paraId="058A051E"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6077" w:type="dxa"/>
            <w:vAlign w:val="center"/>
          </w:tcPr>
          <w:p w14:paraId="1AF30D6B" w14:textId="77777777"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Mức độ đáp ứng các yêu cầu về tiêu chuẩn thực hiện dịch vụ: cam kết thực hiện đầy đủ, chặt chẽ quy định của Nhà nước liên quan đến việc cung cấp dịch vụ.</w:t>
            </w:r>
          </w:p>
        </w:tc>
        <w:tc>
          <w:tcPr>
            <w:tcW w:w="1413" w:type="dxa"/>
            <w:vMerge/>
            <w:vAlign w:val="center"/>
          </w:tcPr>
          <w:p w14:paraId="79567A37"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c>
          <w:tcPr>
            <w:tcW w:w="1843" w:type="dxa"/>
            <w:vMerge/>
            <w:vAlign w:val="center"/>
          </w:tcPr>
          <w:p w14:paraId="059B809A"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r>
      <w:tr w:rsidR="0068462B" w:rsidRPr="00DB5097" w14:paraId="2F65D982" w14:textId="77777777" w:rsidTr="00367BD0">
        <w:tc>
          <w:tcPr>
            <w:tcW w:w="590" w:type="dxa"/>
            <w:vAlign w:val="center"/>
          </w:tcPr>
          <w:p w14:paraId="7B494B63" w14:textId="77777777" w:rsidR="0068462B" w:rsidRPr="00DB5097" w:rsidRDefault="0068462B" w:rsidP="00367BD0">
            <w:pPr>
              <w:pStyle w:val="ListParagraph"/>
              <w:spacing w:before="60" w:after="60" w:line="276" w:lineRule="auto"/>
              <w:ind w:left="0"/>
              <w:contextualSpacing w:val="0"/>
              <w:jc w:val="center"/>
              <w:rPr>
                <w:rFonts w:ascii="Times New Roman" w:hAnsi="Times New Roman" w:cs="Times New Roman"/>
                <w:sz w:val="26"/>
                <w:szCs w:val="26"/>
              </w:rPr>
            </w:pPr>
            <w:r>
              <w:rPr>
                <w:rFonts w:ascii="Times New Roman" w:hAnsi="Times New Roman" w:cs="Times New Roman"/>
                <w:sz w:val="26"/>
                <w:szCs w:val="26"/>
              </w:rPr>
              <w:t>5</w:t>
            </w:r>
          </w:p>
        </w:tc>
        <w:tc>
          <w:tcPr>
            <w:tcW w:w="6077" w:type="dxa"/>
            <w:vAlign w:val="center"/>
          </w:tcPr>
          <w:p w14:paraId="45DE043C" w14:textId="43004C41"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Pr>
                <w:rFonts w:ascii="Times New Roman" w:hAnsi="Times New Roman" w:cs="Times New Roman"/>
                <w:sz w:val="26"/>
                <w:szCs w:val="26"/>
              </w:rPr>
              <w:t>Cam kết</w:t>
            </w:r>
            <w:r w:rsidR="00EA3127">
              <w:rPr>
                <w:rFonts w:ascii="Times New Roman" w:hAnsi="Times New Roman" w:cs="Times New Roman"/>
                <w:sz w:val="26"/>
                <w:szCs w:val="26"/>
              </w:rPr>
              <w:t xml:space="preserve">: Có </w:t>
            </w:r>
            <w:r>
              <w:rPr>
                <w:rFonts w:ascii="Times New Roman" w:hAnsi="Times New Roman" w:cs="Times New Roman"/>
                <w:sz w:val="26"/>
                <w:szCs w:val="26"/>
              </w:rPr>
              <w:t>cam kết cung cấp đầy đủ hồ sơ quy định tại Mục E-CDNT 10.8 khi được mời đối chiếu tài liệu</w:t>
            </w:r>
          </w:p>
        </w:tc>
        <w:tc>
          <w:tcPr>
            <w:tcW w:w="1413" w:type="dxa"/>
            <w:vMerge/>
            <w:vAlign w:val="center"/>
          </w:tcPr>
          <w:p w14:paraId="71554198"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c>
          <w:tcPr>
            <w:tcW w:w="1843" w:type="dxa"/>
            <w:vMerge/>
            <w:vAlign w:val="center"/>
          </w:tcPr>
          <w:p w14:paraId="6EC24F37"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r>
      <w:tr w:rsidR="0068462B" w:rsidRPr="00DB5097" w14:paraId="7DBFD63A" w14:textId="77777777" w:rsidTr="005B0D9F">
        <w:trPr>
          <w:trHeight w:val="649"/>
        </w:trPr>
        <w:tc>
          <w:tcPr>
            <w:tcW w:w="590" w:type="dxa"/>
            <w:vAlign w:val="center"/>
          </w:tcPr>
          <w:p w14:paraId="715612AF" w14:textId="062A5790" w:rsidR="0068462B" w:rsidRPr="00BF5AB5" w:rsidRDefault="005B0D9F" w:rsidP="00367BD0">
            <w:pPr>
              <w:pStyle w:val="ListParagraph"/>
              <w:spacing w:before="60" w:after="60" w:line="276" w:lineRule="auto"/>
              <w:ind w:left="0"/>
              <w:contextualSpacing w:val="0"/>
              <w:rPr>
                <w:rFonts w:ascii="Times New Roman" w:hAnsi="Times New Roman" w:cs="Times New Roman"/>
                <w:b/>
                <w:bCs/>
                <w:sz w:val="26"/>
                <w:szCs w:val="26"/>
              </w:rPr>
            </w:pPr>
            <w:r>
              <w:rPr>
                <w:rFonts w:ascii="Times New Roman" w:hAnsi="Times New Roman" w:cs="Times New Roman"/>
                <w:b/>
                <w:bCs/>
                <w:sz w:val="26"/>
                <w:szCs w:val="26"/>
              </w:rPr>
              <w:t>V</w:t>
            </w:r>
          </w:p>
        </w:tc>
        <w:tc>
          <w:tcPr>
            <w:tcW w:w="6077" w:type="dxa"/>
            <w:vAlign w:val="center"/>
          </w:tcPr>
          <w:p w14:paraId="0E17C833" w14:textId="77777777" w:rsidR="0068462B" w:rsidRPr="00BF5AB5" w:rsidRDefault="0068462B" w:rsidP="00AF1292">
            <w:pPr>
              <w:pStyle w:val="ListParagraph"/>
              <w:spacing w:before="60" w:after="60" w:line="276" w:lineRule="auto"/>
              <w:ind w:left="0"/>
              <w:contextualSpacing w:val="0"/>
              <w:jc w:val="both"/>
              <w:rPr>
                <w:rFonts w:ascii="Times New Roman" w:hAnsi="Times New Roman" w:cs="Times New Roman"/>
                <w:b/>
                <w:bCs/>
                <w:sz w:val="26"/>
                <w:szCs w:val="26"/>
              </w:rPr>
            </w:pPr>
            <w:r w:rsidRPr="00BF5AB5">
              <w:rPr>
                <w:rFonts w:ascii="Times New Roman" w:hAnsi="Times New Roman" w:cs="Times New Roman"/>
                <w:b/>
                <w:bCs/>
                <w:sz w:val="26"/>
                <w:szCs w:val="26"/>
              </w:rPr>
              <w:t>Uy tín của nhà thầu</w:t>
            </w:r>
          </w:p>
        </w:tc>
        <w:tc>
          <w:tcPr>
            <w:tcW w:w="1413" w:type="dxa"/>
            <w:vAlign w:val="center"/>
          </w:tcPr>
          <w:p w14:paraId="4168137C"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c>
          <w:tcPr>
            <w:tcW w:w="1843" w:type="dxa"/>
            <w:vAlign w:val="center"/>
          </w:tcPr>
          <w:p w14:paraId="50C05669"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r>
      <w:tr w:rsidR="0068462B" w:rsidRPr="00DB5097" w14:paraId="202DF676" w14:textId="77777777" w:rsidTr="00367BD0">
        <w:tc>
          <w:tcPr>
            <w:tcW w:w="590" w:type="dxa"/>
            <w:vAlign w:val="center"/>
          </w:tcPr>
          <w:p w14:paraId="438A7857"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p>
        </w:tc>
        <w:tc>
          <w:tcPr>
            <w:tcW w:w="6077" w:type="dxa"/>
            <w:vAlign w:val="center"/>
          </w:tcPr>
          <w:p w14:paraId="32377274" w14:textId="77777777"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Trong vòng 03 năm kể từ 2022 đến thời điểm đóng thầu</w:t>
            </w:r>
          </w:p>
          <w:p w14:paraId="142EA59C" w14:textId="77777777"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Nhà thầu phải cam kết trung thực, đối với nhà thầu liên danh, từng thành viên trong liên danh phải đáp ứng các yêu cầu gồm:</w:t>
            </w:r>
          </w:p>
          <w:p w14:paraId="5C940080" w14:textId="32DD77FE"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 xml:space="preserve">- Cập nhật đầy đủ cơ sở dữ liệu quốc gia về nhà thầu </w:t>
            </w:r>
            <w:r>
              <w:rPr>
                <w:rFonts w:ascii="Times New Roman" w:hAnsi="Times New Roman" w:cs="Times New Roman"/>
                <w:sz w:val="26"/>
                <w:szCs w:val="26"/>
              </w:rPr>
              <w:t>trên Hệ thống Đấu thầu Quốc Gia;</w:t>
            </w:r>
          </w:p>
          <w:p w14:paraId="34E41C7F" w14:textId="7ACCA21D"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Pr="00DB5097">
              <w:rPr>
                <w:rFonts w:ascii="Times New Roman" w:hAnsi="Times New Roman" w:cs="Times New Roman"/>
                <w:sz w:val="26"/>
                <w:szCs w:val="26"/>
              </w:rPr>
              <w:t xml:space="preserve">Nhà thầu không </w:t>
            </w:r>
            <w:r>
              <w:rPr>
                <w:rFonts w:ascii="Times New Roman" w:hAnsi="Times New Roman" w:cs="Times New Roman"/>
                <w:sz w:val="26"/>
                <w:szCs w:val="26"/>
              </w:rPr>
              <w:t>nằm trong “Danh sách nhà thầu không đảm bảo uy tín khi tham dự thầu” trên Hệ thống Đấu thầu Quốc Gia;</w:t>
            </w:r>
          </w:p>
          <w:p w14:paraId="2E26007D" w14:textId="314DA7DE"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 xml:space="preserve">- Nhà thầu không có hợp đồng cung cấp dịch vụ </w:t>
            </w:r>
            <w:r>
              <w:rPr>
                <w:rFonts w:ascii="Times New Roman" w:hAnsi="Times New Roman" w:cs="Times New Roman"/>
                <w:sz w:val="26"/>
                <w:szCs w:val="26"/>
              </w:rPr>
              <w:t>khám sức khoẻ định kỳ bị</w:t>
            </w:r>
            <w:r w:rsidRPr="00DB5097">
              <w:rPr>
                <w:rFonts w:ascii="Times New Roman" w:hAnsi="Times New Roman" w:cs="Times New Roman"/>
                <w:sz w:val="26"/>
                <w:szCs w:val="26"/>
              </w:rPr>
              <w:t xml:space="preserve"> chậm tiến độ </w:t>
            </w:r>
            <w:r>
              <w:rPr>
                <w:rFonts w:ascii="Times New Roman" w:hAnsi="Times New Roman" w:cs="Times New Roman"/>
                <w:sz w:val="26"/>
                <w:szCs w:val="26"/>
              </w:rPr>
              <w:t>hoặc</w:t>
            </w:r>
            <w:r w:rsidRPr="00DB5097">
              <w:rPr>
                <w:rFonts w:ascii="Times New Roman" w:hAnsi="Times New Roman" w:cs="Times New Roman"/>
                <w:sz w:val="26"/>
                <w:szCs w:val="26"/>
              </w:rPr>
              <w:t xml:space="preserve"> bị xử phạt do lỗi của nhà thầu;</w:t>
            </w:r>
          </w:p>
          <w:p w14:paraId="02ED98C6" w14:textId="77777777" w:rsidR="0068462B" w:rsidRPr="00DB5097" w:rsidRDefault="0068462B" w:rsidP="00AF1292">
            <w:pPr>
              <w:pStyle w:val="ListParagraph"/>
              <w:spacing w:before="60" w:after="60" w:line="276" w:lineRule="auto"/>
              <w:ind w:left="0"/>
              <w:contextualSpacing w:val="0"/>
              <w:jc w:val="both"/>
              <w:rPr>
                <w:rFonts w:ascii="Times New Roman" w:hAnsi="Times New Roman" w:cs="Times New Roman"/>
                <w:sz w:val="26"/>
                <w:szCs w:val="26"/>
              </w:rPr>
            </w:pPr>
            <w:r w:rsidRPr="00DB5097">
              <w:rPr>
                <w:rFonts w:ascii="Times New Roman" w:hAnsi="Times New Roman" w:cs="Times New Roman"/>
                <w:sz w:val="26"/>
                <w:szCs w:val="26"/>
              </w:rPr>
              <w:t>- Nhà thầu chưa từng bị CĐT cấm thầu;</w:t>
            </w:r>
          </w:p>
        </w:tc>
        <w:tc>
          <w:tcPr>
            <w:tcW w:w="1413" w:type="dxa"/>
            <w:vAlign w:val="center"/>
          </w:tcPr>
          <w:p w14:paraId="700AA3D7"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r w:rsidRPr="00DB5097">
              <w:rPr>
                <w:rFonts w:ascii="Times New Roman" w:hAnsi="Times New Roman" w:cs="Times New Roman"/>
                <w:sz w:val="26"/>
                <w:szCs w:val="26"/>
              </w:rPr>
              <w:t>Đáp ứng tất cả các yêu cầu</w:t>
            </w:r>
          </w:p>
        </w:tc>
        <w:tc>
          <w:tcPr>
            <w:tcW w:w="1843" w:type="dxa"/>
            <w:vAlign w:val="center"/>
          </w:tcPr>
          <w:p w14:paraId="633C6CFC" w14:textId="77777777" w:rsidR="0068462B" w:rsidRPr="00DB5097" w:rsidRDefault="0068462B" w:rsidP="00367BD0">
            <w:pPr>
              <w:pStyle w:val="ListParagraph"/>
              <w:spacing w:before="60" w:after="60" w:line="276" w:lineRule="auto"/>
              <w:ind w:left="0"/>
              <w:contextualSpacing w:val="0"/>
              <w:rPr>
                <w:rFonts w:ascii="Times New Roman" w:hAnsi="Times New Roman" w:cs="Times New Roman"/>
                <w:sz w:val="26"/>
                <w:szCs w:val="26"/>
              </w:rPr>
            </w:pPr>
            <w:r w:rsidRPr="00DB5097">
              <w:rPr>
                <w:rFonts w:ascii="Times New Roman" w:hAnsi="Times New Roman" w:cs="Times New Roman"/>
                <w:sz w:val="26"/>
                <w:szCs w:val="26"/>
              </w:rPr>
              <w:t>Không đáp ứng hoặc đáp ứng không đầy đủ một trong các yêu cầu</w:t>
            </w:r>
          </w:p>
        </w:tc>
      </w:tr>
    </w:tbl>
    <w:p w14:paraId="31DAA916" w14:textId="77777777" w:rsidR="00E5546B" w:rsidRPr="0068462B" w:rsidRDefault="00E5546B" w:rsidP="0068462B">
      <w:pPr>
        <w:spacing w:before="60" w:after="60" w:line="276" w:lineRule="auto"/>
        <w:jc w:val="both"/>
        <w:rPr>
          <w:rFonts w:ascii="Times New Roman" w:hAnsi="Times New Roman" w:cs="Times New Roman"/>
          <w:sz w:val="26"/>
          <w:szCs w:val="26"/>
        </w:rPr>
      </w:pPr>
    </w:p>
    <w:sectPr w:rsidR="00E5546B" w:rsidRPr="0068462B" w:rsidSect="005B0D9F">
      <w:pgSz w:w="11907" w:h="16840" w:code="9"/>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DDA4" w14:textId="77777777" w:rsidR="00284BB1" w:rsidRDefault="00284BB1" w:rsidP="0068462B">
      <w:pPr>
        <w:spacing w:after="0" w:line="240" w:lineRule="auto"/>
      </w:pPr>
      <w:r>
        <w:separator/>
      </w:r>
    </w:p>
  </w:endnote>
  <w:endnote w:type="continuationSeparator" w:id="0">
    <w:p w14:paraId="5AED4E78" w14:textId="77777777" w:rsidR="00284BB1" w:rsidRDefault="00284BB1" w:rsidP="0068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1">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1C57" w14:textId="77777777" w:rsidR="00284BB1" w:rsidRDefault="00284BB1" w:rsidP="0068462B">
      <w:pPr>
        <w:spacing w:after="0" w:line="240" w:lineRule="auto"/>
      </w:pPr>
      <w:r>
        <w:separator/>
      </w:r>
    </w:p>
  </w:footnote>
  <w:footnote w:type="continuationSeparator" w:id="0">
    <w:p w14:paraId="42AE15A2" w14:textId="77777777" w:rsidR="00284BB1" w:rsidRDefault="00284BB1" w:rsidP="0068462B">
      <w:pPr>
        <w:spacing w:after="0" w:line="240" w:lineRule="auto"/>
      </w:pPr>
      <w:r>
        <w:continuationSeparator/>
      </w:r>
    </w:p>
  </w:footnote>
  <w:footnote w:id="1">
    <w:p w14:paraId="0560681B" w14:textId="77777777" w:rsidR="0068462B" w:rsidRDefault="0068462B" w:rsidP="0068462B">
      <w:pPr>
        <w:pStyle w:val="FootnoteText"/>
        <w:tabs>
          <w:tab w:val="left" w:pos="720"/>
        </w:tabs>
        <w:spacing w:before="60" w:after="60"/>
        <w:ind w:right="49"/>
        <w:rPr>
          <w:lang w:val="nl-NL"/>
        </w:rPr>
      </w:pPr>
      <w:r>
        <w:rPr>
          <w:rStyle w:val="FootnoteReference"/>
        </w:rPr>
        <w:footnoteRef/>
      </w:r>
      <w:r>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94"/>
    <w:rsid w:val="0006452C"/>
    <w:rsid w:val="00147E51"/>
    <w:rsid w:val="001E5FA9"/>
    <w:rsid w:val="00284BB1"/>
    <w:rsid w:val="002F30FF"/>
    <w:rsid w:val="004623CE"/>
    <w:rsid w:val="00475BD1"/>
    <w:rsid w:val="00490CA0"/>
    <w:rsid w:val="004B66F7"/>
    <w:rsid w:val="004C057B"/>
    <w:rsid w:val="005037F0"/>
    <w:rsid w:val="005B0D9F"/>
    <w:rsid w:val="00614AED"/>
    <w:rsid w:val="00674466"/>
    <w:rsid w:val="0068462B"/>
    <w:rsid w:val="007743AF"/>
    <w:rsid w:val="008E772C"/>
    <w:rsid w:val="00957B94"/>
    <w:rsid w:val="009D6E55"/>
    <w:rsid w:val="00AF1292"/>
    <w:rsid w:val="00B354F4"/>
    <w:rsid w:val="00B62E3A"/>
    <w:rsid w:val="00BA118F"/>
    <w:rsid w:val="00BB3B7F"/>
    <w:rsid w:val="00DF0E5D"/>
    <w:rsid w:val="00E479EB"/>
    <w:rsid w:val="00E5546B"/>
    <w:rsid w:val="00EA3127"/>
    <w:rsid w:val="00FD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9589"/>
  <w15:chartTrackingRefBased/>
  <w15:docId w15:val="{8CD6BD8C-F406-4D31-A11A-D9263F4E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B94"/>
    <w:rPr>
      <w:rFonts w:eastAsiaTheme="majorEastAsia" w:cstheme="majorBidi"/>
      <w:color w:val="272727" w:themeColor="text1" w:themeTint="D8"/>
    </w:rPr>
  </w:style>
  <w:style w:type="paragraph" w:styleId="Title">
    <w:name w:val="Title"/>
    <w:basedOn w:val="Normal"/>
    <w:next w:val="Normal"/>
    <w:link w:val="TitleChar"/>
    <w:uiPriority w:val="10"/>
    <w:qFormat/>
    <w:rsid w:val="00957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B94"/>
    <w:pPr>
      <w:spacing w:before="160"/>
      <w:jc w:val="center"/>
    </w:pPr>
    <w:rPr>
      <w:i/>
      <w:iCs/>
      <w:color w:val="404040" w:themeColor="text1" w:themeTint="BF"/>
    </w:rPr>
  </w:style>
  <w:style w:type="character" w:customStyle="1" w:styleId="QuoteChar">
    <w:name w:val="Quote Char"/>
    <w:basedOn w:val="DefaultParagraphFont"/>
    <w:link w:val="Quote"/>
    <w:uiPriority w:val="29"/>
    <w:rsid w:val="00957B9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57B94"/>
    <w:pPr>
      <w:ind w:left="720"/>
      <w:contextualSpacing/>
    </w:pPr>
  </w:style>
  <w:style w:type="character" w:styleId="IntenseEmphasis">
    <w:name w:val="Intense Emphasis"/>
    <w:basedOn w:val="DefaultParagraphFont"/>
    <w:uiPriority w:val="21"/>
    <w:qFormat/>
    <w:rsid w:val="00957B94"/>
    <w:rPr>
      <w:i/>
      <w:iCs/>
      <w:color w:val="0F4761" w:themeColor="accent1" w:themeShade="BF"/>
    </w:rPr>
  </w:style>
  <w:style w:type="paragraph" w:styleId="IntenseQuote">
    <w:name w:val="Intense Quote"/>
    <w:basedOn w:val="Normal"/>
    <w:next w:val="Normal"/>
    <w:link w:val="IntenseQuoteChar"/>
    <w:uiPriority w:val="30"/>
    <w:qFormat/>
    <w:rsid w:val="00957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B94"/>
    <w:rPr>
      <w:i/>
      <w:iCs/>
      <w:color w:val="0F4761" w:themeColor="accent1" w:themeShade="BF"/>
    </w:rPr>
  </w:style>
  <w:style w:type="character" w:styleId="IntenseReference">
    <w:name w:val="Intense Reference"/>
    <w:basedOn w:val="DefaultParagraphFont"/>
    <w:uiPriority w:val="32"/>
    <w:qFormat/>
    <w:rsid w:val="00957B94"/>
    <w:rPr>
      <w:b/>
      <w:bCs/>
      <w:smallCaps/>
      <w:color w:val="0F4761" w:themeColor="accent1" w:themeShade="BF"/>
      <w:spacing w:val="5"/>
    </w:rPr>
  </w:style>
  <w:style w:type="paragraph" w:styleId="FootnoteText">
    <w:name w:val="footnote text"/>
    <w:basedOn w:val="Normal"/>
    <w:link w:val="FootnoteTextChar"/>
    <w:uiPriority w:val="99"/>
    <w:semiHidden/>
    <w:unhideWhenUsed/>
    <w:rsid w:val="00684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62B"/>
    <w:rPr>
      <w:sz w:val="20"/>
      <w:szCs w:val="20"/>
    </w:rPr>
  </w:style>
  <w:style w:type="character" w:styleId="FootnoteReference">
    <w:name w:val="footnote reference"/>
    <w:aliases w:val="callout"/>
    <w:uiPriority w:val="99"/>
    <w:semiHidden/>
    <w:unhideWhenUsed/>
    <w:rsid w:val="0068462B"/>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8462B"/>
  </w:style>
  <w:style w:type="character" w:customStyle="1" w:styleId="Document4">
    <w:name w:val="Document 4"/>
    <w:rsid w:val="005B0D9F"/>
    <w:rPr>
      <w:b/>
      <w:i/>
      <w:sz w:val="24"/>
    </w:rPr>
  </w:style>
  <w:style w:type="character" w:customStyle="1" w:styleId="fontstyle01">
    <w:name w:val="fontstyle01"/>
    <w:basedOn w:val="DefaultParagraphFont"/>
    <w:rsid w:val="008E772C"/>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Loc</dc:creator>
  <cp:keywords/>
  <dc:description/>
  <cp:lastModifiedBy>Nguyen Thanh Loc</cp:lastModifiedBy>
  <cp:revision>8</cp:revision>
  <cp:lastPrinted>2025-08-18T06:11:00Z</cp:lastPrinted>
  <dcterms:created xsi:type="dcterms:W3CDTF">2025-08-16T10:06:00Z</dcterms:created>
  <dcterms:modified xsi:type="dcterms:W3CDTF">2025-10-06T10:23:00Z</dcterms:modified>
</cp:coreProperties>
</file>