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D2280">
      <w:pPr>
        <w:autoSpaceDE w:val="0"/>
        <w:autoSpaceDN w:val="0"/>
        <w:adjustRightInd w:val="0"/>
        <w:spacing w:before="120"/>
        <w:jc w:val="center"/>
        <w:rPr>
          <w:b/>
          <w:bCs/>
          <w:sz w:val="26"/>
          <w:szCs w:val="26"/>
          <w:lang w:val="vi-VN"/>
        </w:rPr>
      </w:pPr>
      <w:r>
        <w:rPr>
          <w:b/>
          <w:bCs/>
          <w:sz w:val="26"/>
          <w:szCs w:val="26"/>
          <w:lang w:val="vi-VN"/>
        </w:rPr>
        <w:t>CHƯƠNG</w:t>
      </w:r>
      <w:r>
        <w:rPr>
          <w:b/>
          <w:bCs/>
          <w:sz w:val="26"/>
          <w:szCs w:val="26"/>
        </w:rPr>
        <w:t xml:space="preserve"> V. YÊU C</w:t>
      </w:r>
      <w:r>
        <w:rPr>
          <w:b/>
          <w:bCs/>
          <w:sz w:val="26"/>
          <w:szCs w:val="26"/>
          <w:lang w:val="vi-VN"/>
        </w:rPr>
        <w:t>ẦU VỀ KỸ THUẬT</w:t>
      </w:r>
    </w:p>
    <w:p w14:paraId="2683356F">
      <w:pPr>
        <w:pStyle w:val="13"/>
        <w:numPr>
          <w:ilvl w:val="0"/>
          <w:numId w:val="1"/>
        </w:numPr>
        <w:spacing w:before="60" w:after="60" w:line="276" w:lineRule="auto"/>
        <w:ind w:left="450"/>
        <w:jc w:val="left"/>
        <w:rPr>
          <w:b/>
          <w:sz w:val="26"/>
          <w:szCs w:val="26"/>
        </w:rPr>
      </w:pPr>
      <w:r>
        <w:rPr>
          <w:b/>
          <w:sz w:val="26"/>
          <w:szCs w:val="26"/>
        </w:rPr>
        <w:t>Giới thiệu chung về gói thầu</w:t>
      </w:r>
    </w:p>
    <w:p w14:paraId="5EA1CF2F">
      <w:pPr>
        <w:pStyle w:val="13"/>
        <w:numPr>
          <w:ilvl w:val="0"/>
          <w:numId w:val="2"/>
        </w:numPr>
        <w:tabs>
          <w:tab w:val="left" w:pos="567"/>
        </w:tabs>
        <w:autoSpaceDE w:val="0"/>
        <w:autoSpaceDN w:val="0"/>
        <w:adjustRightInd w:val="0"/>
        <w:spacing w:before="120" w:after="120"/>
        <w:ind w:left="142" w:firstLine="0"/>
        <w:rPr>
          <w:sz w:val="26"/>
          <w:szCs w:val="26"/>
        </w:rPr>
      </w:pPr>
      <w:r>
        <w:rPr>
          <w:sz w:val="26"/>
          <w:szCs w:val="26"/>
        </w:rPr>
        <w:t>Chủ đầu tư: Bệnh viện Đại học Y Dược Thành phố Hồ Chí Minh</w:t>
      </w:r>
    </w:p>
    <w:p w14:paraId="22D52075">
      <w:pPr>
        <w:pStyle w:val="13"/>
        <w:numPr>
          <w:ilvl w:val="0"/>
          <w:numId w:val="2"/>
        </w:numPr>
        <w:tabs>
          <w:tab w:val="left" w:pos="567"/>
        </w:tabs>
        <w:autoSpaceDE w:val="0"/>
        <w:autoSpaceDN w:val="0"/>
        <w:adjustRightInd w:val="0"/>
        <w:spacing w:before="120" w:after="120"/>
        <w:ind w:left="142" w:firstLine="0"/>
        <w:rPr>
          <w:sz w:val="26"/>
          <w:szCs w:val="26"/>
        </w:rPr>
      </w:pPr>
      <w:r>
        <w:rPr>
          <w:sz w:val="26"/>
          <w:szCs w:val="26"/>
        </w:rPr>
        <w:t>Tên gói thầu: Cung cấp dịch vụ thu gom, vận chuyển, xử lý chất thải thông thường năm 2026.</w:t>
      </w:r>
    </w:p>
    <w:p w14:paraId="76213678">
      <w:pPr>
        <w:pStyle w:val="13"/>
        <w:numPr>
          <w:ilvl w:val="1"/>
          <w:numId w:val="3"/>
        </w:numPr>
        <w:spacing w:before="120" w:after="120" w:line="276" w:lineRule="auto"/>
        <w:ind w:left="709" w:hanging="578"/>
        <w:rPr>
          <w:sz w:val="26"/>
          <w:szCs w:val="26"/>
          <w:lang w:val="nl-NL"/>
        </w:rPr>
      </w:pPr>
      <w:r>
        <w:rPr>
          <w:b/>
          <w:sz w:val="26"/>
          <w:szCs w:val="26"/>
        </w:rPr>
        <w:t xml:space="preserve">Mục tiêu công việc: </w:t>
      </w:r>
    </w:p>
    <w:p w14:paraId="4E2DC8D3">
      <w:pPr>
        <w:pStyle w:val="13"/>
        <w:numPr>
          <w:ilvl w:val="0"/>
          <w:numId w:val="2"/>
        </w:numPr>
        <w:tabs>
          <w:tab w:val="left" w:pos="567"/>
        </w:tabs>
        <w:autoSpaceDE w:val="0"/>
        <w:autoSpaceDN w:val="0"/>
        <w:adjustRightInd w:val="0"/>
        <w:spacing w:before="120" w:after="120"/>
        <w:ind w:left="142" w:firstLine="0"/>
        <w:rPr>
          <w:sz w:val="26"/>
          <w:szCs w:val="26"/>
          <w:lang w:val="nl-NL"/>
        </w:rPr>
      </w:pPr>
      <w:r>
        <w:rPr>
          <w:sz w:val="26"/>
          <w:szCs w:val="26"/>
        </w:rPr>
        <w:t>Nhà thầu thực hiện dịch vụ c</w:t>
      </w:r>
      <w:r>
        <w:rPr>
          <w:sz w:val="26"/>
          <w:szCs w:val="26"/>
          <w:lang w:val="nl-NL"/>
        </w:rPr>
        <w:t>ung cấp dịch vụ thu gom, vận chuyển và xử lý chất thải rắn thông thường, cụ thể:</w:t>
      </w:r>
    </w:p>
    <w:p w14:paraId="53C9DBDF">
      <w:pPr>
        <w:pStyle w:val="13"/>
        <w:autoSpaceDE w:val="0"/>
        <w:autoSpaceDN w:val="0"/>
        <w:adjustRightInd w:val="0"/>
        <w:spacing w:before="120" w:after="120"/>
        <w:ind w:left="284"/>
        <w:rPr>
          <w:color w:val="2E2E2E"/>
          <w:sz w:val="26"/>
          <w:szCs w:val="26"/>
        </w:rPr>
      </w:pPr>
      <w:r>
        <w:rPr>
          <w:sz w:val="26"/>
          <w:szCs w:val="26"/>
          <w:lang w:val="nl-NL"/>
        </w:rPr>
        <w:t xml:space="preserve">+ Thu gom, vận </w:t>
      </w:r>
      <w:r>
        <w:rPr>
          <w:color w:val="2E2E2E"/>
          <w:sz w:val="26"/>
          <w:szCs w:val="26"/>
        </w:rPr>
        <w:t xml:space="preserve">chuyển: Nhà thầu thực hiện thu gom, vận chuyển chất thải rắn thông </w:t>
      </w:r>
      <w:r>
        <w:rPr>
          <w:sz w:val="26"/>
          <w:szCs w:val="26"/>
          <w:lang w:val="nl-NL"/>
        </w:rPr>
        <w:t>thường</w:t>
      </w:r>
      <w:r>
        <w:rPr>
          <w:color w:val="2E2E2E"/>
          <w:sz w:val="26"/>
          <w:szCs w:val="26"/>
        </w:rPr>
        <w:t xml:space="preserve"> tại Bệnh viện đến nơi xử lý theo đúng quy trình và quy định.</w:t>
      </w:r>
    </w:p>
    <w:p w14:paraId="372B828F">
      <w:pPr>
        <w:pStyle w:val="13"/>
        <w:autoSpaceDE w:val="0"/>
        <w:autoSpaceDN w:val="0"/>
        <w:adjustRightInd w:val="0"/>
        <w:spacing w:before="120" w:after="120"/>
        <w:ind w:left="284"/>
        <w:rPr>
          <w:sz w:val="26"/>
          <w:szCs w:val="26"/>
          <w:lang w:val="nl-NL"/>
        </w:rPr>
      </w:pPr>
      <w:r>
        <w:rPr>
          <w:color w:val="2E2E2E"/>
          <w:sz w:val="26"/>
          <w:szCs w:val="26"/>
        </w:rPr>
        <w:t>+ Xử lý: Nhà th</w:t>
      </w:r>
      <w:r>
        <w:rPr>
          <w:sz w:val="26"/>
          <w:szCs w:val="26"/>
          <w:lang w:val="nl-NL"/>
        </w:rPr>
        <w:t>ầu có thể tiến hành xử lý chất thải rắn thông thường nếu đủ chức năng hoặc chuyển giao cho đơn vị có chứ</w:t>
      </w:r>
      <w:bookmarkStart w:id="0" w:name="_GoBack"/>
      <w:bookmarkEnd w:id="0"/>
      <w:r>
        <w:rPr>
          <w:sz w:val="26"/>
          <w:szCs w:val="26"/>
          <w:lang w:val="nl-NL"/>
        </w:rPr>
        <w:t>c năng xử lý thải theo quy định.</w:t>
      </w:r>
    </w:p>
    <w:p w14:paraId="2B8391DC">
      <w:pPr>
        <w:pStyle w:val="13"/>
        <w:autoSpaceDE w:val="0"/>
        <w:autoSpaceDN w:val="0"/>
        <w:adjustRightInd w:val="0"/>
        <w:spacing w:before="120" w:after="120"/>
        <w:ind w:left="284"/>
        <w:rPr>
          <w:sz w:val="26"/>
          <w:szCs w:val="26"/>
          <w:lang w:val="nl-NL"/>
        </w:rPr>
      </w:pPr>
      <w:r>
        <w:rPr>
          <w:sz w:val="26"/>
          <w:szCs w:val="26"/>
          <w:lang w:val="nl-NL"/>
        </w:rPr>
        <w:t>+ Tất cả các bước trên đảm bảo chất thải được xử lý an toàn và hiệu quả, tuân thủ đúng quy định pháp luật, không gây ảnh hưởng đến môi trường xung quanh.</w:t>
      </w:r>
    </w:p>
    <w:p w14:paraId="621B9A8C">
      <w:pPr>
        <w:pStyle w:val="13"/>
        <w:autoSpaceDE w:val="0"/>
        <w:autoSpaceDN w:val="0"/>
        <w:adjustRightInd w:val="0"/>
        <w:spacing w:before="120" w:after="120"/>
        <w:ind w:left="284"/>
        <w:rPr>
          <w:color w:val="2E2E2E"/>
          <w:sz w:val="26"/>
          <w:szCs w:val="26"/>
        </w:rPr>
      </w:pPr>
      <w:r>
        <w:rPr>
          <w:color w:val="2E2E2E"/>
          <w:sz w:val="26"/>
          <w:szCs w:val="26"/>
        </w:rPr>
        <w:t>+ Chất thải rắn sinh hoạt phát sinh từ hoạt động sinh hoạt thường ngày của nhân viên y tế, người bệnh, người nhà người bệnh, học viên, khách đến làm việc và các chất thải ngoại cảnh trong cơ sở y tế (trừ chất thải sinh hoạt phát sinh từ khu vực cách ly, điều trị người mắc bệnh truyền nhiễm nguy hiểm)</w:t>
      </w:r>
    </w:p>
    <w:p w14:paraId="2F61D54A">
      <w:pPr>
        <w:pStyle w:val="13"/>
        <w:numPr>
          <w:ilvl w:val="0"/>
          <w:numId w:val="2"/>
        </w:numPr>
        <w:tabs>
          <w:tab w:val="left" w:pos="567"/>
        </w:tabs>
        <w:autoSpaceDE w:val="0"/>
        <w:autoSpaceDN w:val="0"/>
        <w:adjustRightInd w:val="0"/>
        <w:spacing w:before="120" w:after="120"/>
        <w:ind w:left="142" w:firstLine="0"/>
        <w:rPr>
          <w:sz w:val="26"/>
          <w:szCs w:val="26"/>
        </w:rPr>
      </w:pPr>
      <w:r>
        <w:rPr>
          <w:color w:val="2E2E2E"/>
          <w:sz w:val="26"/>
          <w:szCs w:val="26"/>
        </w:rPr>
        <w:t>Chất thải rắn thông thường khác (đồ vải thải bỏ, bàn ghế, nệm bỏ,</w:t>
      </w:r>
      <w:r>
        <w:rPr>
          <w:color w:val="000000"/>
          <w:sz w:val="26"/>
          <w:szCs w:val="26"/>
          <w:shd w:val="clear" w:color="auto" w:fill="FFFFFF"/>
        </w:rPr>
        <w:t xml:space="preserve"> rác thải xây dựng..</w:t>
      </w:r>
      <w:r>
        <w:rPr>
          <w:color w:val="2E2E2E"/>
          <w:sz w:val="26"/>
          <w:szCs w:val="26"/>
        </w:rPr>
        <w:t>)</w:t>
      </w:r>
    </w:p>
    <w:p w14:paraId="439AA0A2">
      <w:pPr>
        <w:pStyle w:val="13"/>
        <w:autoSpaceDE w:val="0"/>
        <w:autoSpaceDN w:val="0"/>
        <w:adjustRightInd w:val="0"/>
        <w:spacing w:before="120" w:after="120"/>
        <w:ind w:left="284"/>
        <w:rPr>
          <w:sz w:val="26"/>
          <w:szCs w:val="26"/>
        </w:rPr>
      </w:pPr>
      <w:r>
        <w:rPr>
          <w:sz w:val="26"/>
          <w:szCs w:val="26"/>
        </w:rPr>
        <w:t xml:space="preserve">+ Khối </w:t>
      </w:r>
      <w:r>
        <w:rPr>
          <w:color w:val="2E2E2E"/>
          <w:sz w:val="26"/>
          <w:szCs w:val="26"/>
        </w:rPr>
        <w:t>lượng</w:t>
      </w:r>
      <w:r>
        <w:rPr>
          <w:sz w:val="26"/>
          <w:szCs w:val="26"/>
        </w:rPr>
        <w:t xml:space="preserve"> thu gom sẽ được nghiệm thu tại từng cơ sở.</w:t>
      </w:r>
    </w:p>
    <w:p w14:paraId="170718A2">
      <w:pPr>
        <w:pStyle w:val="13"/>
        <w:numPr>
          <w:ilvl w:val="1"/>
          <w:numId w:val="3"/>
        </w:numPr>
        <w:spacing w:before="120" w:after="120" w:line="276" w:lineRule="auto"/>
        <w:ind w:left="709" w:hanging="578"/>
        <w:rPr>
          <w:b/>
          <w:sz w:val="26"/>
          <w:szCs w:val="26"/>
        </w:rPr>
      </w:pPr>
      <w:r>
        <w:rPr>
          <w:b/>
          <w:sz w:val="26"/>
          <w:szCs w:val="26"/>
        </w:rPr>
        <w:t>Khối lượng dự kiến chất thải rắn thông thường:</w:t>
      </w:r>
    </w:p>
    <w:tbl>
      <w:tblPr>
        <w:tblStyle w:val="3"/>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4413"/>
        <w:gridCol w:w="856"/>
        <w:gridCol w:w="1367"/>
        <w:gridCol w:w="1367"/>
        <w:gridCol w:w="1370"/>
      </w:tblGrid>
      <w:tr w14:paraId="31DD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303" w:type="pct"/>
            <w:vMerge w:val="restart"/>
            <w:vAlign w:val="center"/>
          </w:tcPr>
          <w:p w14:paraId="23145443">
            <w:pPr>
              <w:spacing w:before="60" w:after="60" w:line="276" w:lineRule="auto"/>
              <w:jc w:val="center"/>
              <w:rPr>
                <w:b/>
                <w:color w:val="000000"/>
                <w:sz w:val="26"/>
                <w:szCs w:val="26"/>
              </w:rPr>
            </w:pPr>
            <w:r>
              <w:rPr>
                <w:b/>
                <w:color w:val="000000"/>
                <w:sz w:val="26"/>
                <w:szCs w:val="26"/>
                <w:lang w:val="de-DE"/>
              </w:rPr>
              <w:t>TT</w:t>
            </w:r>
          </w:p>
        </w:tc>
        <w:tc>
          <w:tcPr>
            <w:tcW w:w="2211" w:type="pct"/>
            <w:vMerge w:val="restart"/>
            <w:vAlign w:val="center"/>
          </w:tcPr>
          <w:p w14:paraId="3442C108">
            <w:pPr>
              <w:spacing w:before="60" w:after="60" w:line="276" w:lineRule="auto"/>
              <w:jc w:val="center"/>
              <w:rPr>
                <w:b/>
                <w:sz w:val="26"/>
                <w:szCs w:val="26"/>
              </w:rPr>
            </w:pPr>
            <w:r>
              <w:rPr>
                <w:b/>
                <w:sz w:val="26"/>
                <w:szCs w:val="26"/>
              </w:rPr>
              <w:t>Danh mục</w:t>
            </w:r>
          </w:p>
        </w:tc>
        <w:tc>
          <w:tcPr>
            <w:tcW w:w="429" w:type="pct"/>
            <w:vMerge w:val="restart"/>
            <w:vAlign w:val="center"/>
          </w:tcPr>
          <w:p w14:paraId="18AF8A26">
            <w:pPr>
              <w:spacing w:before="60" w:after="60" w:line="276" w:lineRule="auto"/>
              <w:jc w:val="center"/>
              <w:rPr>
                <w:b/>
                <w:color w:val="000000"/>
                <w:sz w:val="26"/>
                <w:szCs w:val="26"/>
              </w:rPr>
            </w:pPr>
            <w:r>
              <w:rPr>
                <w:b/>
                <w:color w:val="000000"/>
                <w:sz w:val="26"/>
                <w:szCs w:val="26"/>
              </w:rPr>
              <w:t>Đơn vị tính</w:t>
            </w:r>
          </w:p>
        </w:tc>
        <w:tc>
          <w:tcPr>
            <w:tcW w:w="2056" w:type="pct"/>
            <w:gridSpan w:val="3"/>
            <w:vAlign w:val="center"/>
          </w:tcPr>
          <w:p w14:paraId="517200B4">
            <w:pPr>
              <w:spacing w:before="60" w:after="60" w:line="276" w:lineRule="auto"/>
              <w:jc w:val="center"/>
              <w:rPr>
                <w:b/>
                <w:color w:val="000000"/>
                <w:sz w:val="26"/>
                <w:szCs w:val="26"/>
                <w:lang w:val="de-DE"/>
              </w:rPr>
            </w:pPr>
            <w:r>
              <w:rPr>
                <w:b/>
                <w:color w:val="000000"/>
                <w:sz w:val="26"/>
                <w:szCs w:val="26"/>
                <w:lang w:val="de-DE"/>
              </w:rPr>
              <w:t>Số lượng</w:t>
            </w:r>
          </w:p>
        </w:tc>
      </w:tr>
      <w:tr w14:paraId="1BA9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303" w:type="pct"/>
            <w:vMerge w:val="continue"/>
            <w:vAlign w:val="center"/>
          </w:tcPr>
          <w:p w14:paraId="1F4DF155">
            <w:pPr>
              <w:spacing w:before="60" w:after="60" w:line="276" w:lineRule="auto"/>
              <w:jc w:val="center"/>
              <w:rPr>
                <w:b/>
                <w:color w:val="000000"/>
                <w:sz w:val="26"/>
                <w:szCs w:val="26"/>
                <w:lang w:val="de-DE"/>
              </w:rPr>
            </w:pPr>
          </w:p>
        </w:tc>
        <w:tc>
          <w:tcPr>
            <w:tcW w:w="2211" w:type="pct"/>
            <w:vMerge w:val="continue"/>
            <w:vAlign w:val="center"/>
          </w:tcPr>
          <w:p w14:paraId="03E7602F">
            <w:pPr>
              <w:spacing w:before="60" w:after="60" w:line="276" w:lineRule="auto"/>
              <w:jc w:val="center"/>
              <w:rPr>
                <w:b/>
                <w:sz w:val="26"/>
                <w:szCs w:val="26"/>
              </w:rPr>
            </w:pPr>
          </w:p>
        </w:tc>
        <w:tc>
          <w:tcPr>
            <w:tcW w:w="429" w:type="pct"/>
            <w:vMerge w:val="continue"/>
            <w:vAlign w:val="center"/>
          </w:tcPr>
          <w:p w14:paraId="0DEC27B1">
            <w:pPr>
              <w:spacing w:before="60" w:after="60" w:line="276" w:lineRule="auto"/>
              <w:jc w:val="center"/>
              <w:rPr>
                <w:b/>
                <w:color w:val="000000"/>
                <w:sz w:val="26"/>
                <w:szCs w:val="26"/>
              </w:rPr>
            </w:pPr>
          </w:p>
        </w:tc>
        <w:tc>
          <w:tcPr>
            <w:tcW w:w="685" w:type="pct"/>
            <w:vAlign w:val="center"/>
          </w:tcPr>
          <w:p w14:paraId="0DF0F3A5">
            <w:pPr>
              <w:spacing w:before="60" w:after="60" w:line="276" w:lineRule="auto"/>
              <w:jc w:val="center"/>
              <w:rPr>
                <w:b/>
                <w:color w:val="000000"/>
                <w:sz w:val="26"/>
                <w:szCs w:val="26"/>
                <w:lang w:val="de-DE"/>
              </w:rPr>
            </w:pPr>
            <w:r>
              <w:rPr>
                <w:b/>
                <w:color w:val="000000"/>
                <w:sz w:val="26"/>
                <w:szCs w:val="26"/>
                <w:lang w:val="de-DE"/>
              </w:rPr>
              <w:t>Cơ sở 1</w:t>
            </w:r>
          </w:p>
        </w:tc>
        <w:tc>
          <w:tcPr>
            <w:tcW w:w="685" w:type="pct"/>
            <w:vAlign w:val="center"/>
          </w:tcPr>
          <w:p w14:paraId="14ABF930">
            <w:pPr>
              <w:spacing w:before="60" w:after="60" w:line="276" w:lineRule="auto"/>
              <w:jc w:val="center"/>
              <w:rPr>
                <w:b/>
                <w:color w:val="000000"/>
                <w:sz w:val="26"/>
                <w:szCs w:val="26"/>
                <w:lang w:val="de-DE"/>
              </w:rPr>
            </w:pPr>
            <w:r>
              <w:rPr>
                <w:b/>
                <w:bCs/>
                <w:sz w:val="26"/>
                <w:szCs w:val="26"/>
              </w:rPr>
              <w:t>Cơ sở 2</w:t>
            </w:r>
          </w:p>
        </w:tc>
        <w:tc>
          <w:tcPr>
            <w:tcW w:w="685" w:type="pct"/>
            <w:vAlign w:val="center"/>
          </w:tcPr>
          <w:p w14:paraId="425455BB">
            <w:pPr>
              <w:spacing w:before="60" w:after="60" w:line="276" w:lineRule="auto"/>
              <w:jc w:val="center"/>
              <w:rPr>
                <w:b/>
                <w:bCs/>
                <w:sz w:val="26"/>
                <w:szCs w:val="26"/>
              </w:rPr>
            </w:pPr>
            <w:r>
              <w:rPr>
                <w:b/>
                <w:bCs/>
                <w:sz w:val="26"/>
                <w:szCs w:val="26"/>
              </w:rPr>
              <w:t>Tổng cộng</w:t>
            </w:r>
          </w:p>
        </w:tc>
      </w:tr>
      <w:tr w14:paraId="1DA5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303" w:type="pct"/>
            <w:vAlign w:val="center"/>
          </w:tcPr>
          <w:p w14:paraId="1E27FFDA">
            <w:pPr>
              <w:spacing w:before="60" w:after="60" w:line="276" w:lineRule="auto"/>
              <w:jc w:val="center"/>
              <w:rPr>
                <w:sz w:val="26"/>
                <w:szCs w:val="26"/>
              </w:rPr>
            </w:pPr>
            <w:r>
              <w:rPr>
                <w:sz w:val="26"/>
                <w:szCs w:val="26"/>
              </w:rPr>
              <w:t>1</w:t>
            </w:r>
          </w:p>
        </w:tc>
        <w:tc>
          <w:tcPr>
            <w:tcW w:w="2211" w:type="pct"/>
            <w:vAlign w:val="center"/>
          </w:tcPr>
          <w:p w14:paraId="0B9F2484">
            <w:pPr>
              <w:spacing w:before="60" w:after="60" w:line="276" w:lineRule="auto"/>
              <w:jc w:val="both"/>
              <w:rPr>
                <w:sz w:val="26"/>
                <w:szCs w:val="26"/>
              </w:rPr>
            </w:pPr>
            <w:r>
              <w:rPr>
                <w:color w:val="000000"/>
                <w:sz w:val="26"/>
                <w:szCs w:val="26"/>
              </w:rPr>
              <w:t>Cung cấp dịch vụ thu gom, vận chuyển, xử lý chất thải rắn sinh hoạt</w:t>
            </w:r>
          </w:p>
        </w:tc>
        <w:tc>
          <w:tcPr>
            <w:tcW w:w="429" w:type="pct"/>
            <w:vAlign w:val="center"/>
          </w:tcPr>
          <w:p w14:paraId="50EE233C">
            <w:pPr>
              <w:spacing w:before="60" w:after="60" w:line="276" w:lineRule="auto"/>
              <w:jc w:val="center"/>
              <w:rPr>
                <w:sz w:val="26"/>
                <w:szCs w:val="26"/>
              </w:rPr>
            </w:pPr>
            <w:r>
              <w:rPr>
                <w:sz w:val="26"/>
                <w:szCs w:val="26"/>
              </w:rPr>
              <w:t>Tấn</w:t>
            </w:r>
          </w:p>
        </w:tc>
        <w:tc>
          <w:tcPr>
            <w:tcW w:w="685" w:type="pct"/>
            <w:vAlign w:val="center"/>
          </w:tcPr>
          <w:p w14:paraId="6D07C6A6">
            <w:pPr>
              <w:spacing w:before="60" w:after="60" w:line="276" w:lineRule="auto"/>
              <w:jc w:val="center"/>
              <w:rPr>
                <w:sz w:val="26"/>
                <w:szCs w:val="26"/>
              </w:rPr>
            </w:pPr>
            <w:r>
              <w:rPr>
                <w:sz w:val="26"/>
                <w:szCs w:val="26"/>
              </w:rPr>
              <w:t>1309</w:t>
            </w:r>
          </w:p>
        </w:tc>
        <w:tc>
          <w:tcPr>
            <w:tcW w:w="685" w:type="pct"/>
            <w:vAlign w:val="center"/>
          </w:tcPr>
          <w:p w14:paraId="1D204110">
            <w:pPr>
              <w:spacing w:before="60" w:after="60" w:line="276" w:lineRule="auto"/>
              <w:jc w:val="center"/>
              <w:rPr>
                <w:bCs/>
                <w:sz w:val="26"/>
                <w:szCs w:val="26"/>
              </w:rPr>
            </w:pPr>
            <w:r>
              <w:rPr>
                <w:bCs/>
                <w:sz w:val="26"/>
                <w:szCs w:val="26"/>
              </w:rPr>
              <w:t>101</w:t>
            </w:r>
          </w:p>
        </w:tc>
        <w:tc>
          <w:tcPr>
            <w:tcW w:w="685" w:type="pct"/>
            <w:tcBorders>
              <w:top w:val="single" w:color="auto" w:sz="4" w:space="0"/>
              <w:left w:val="single" w:color="auto" w:sz="4" w:space="0"/>
              <w:bottom w:val="single" w:color="auto" w:sz="4" w:space="0"/>
              <w:right w:val="single" w:color="auto" w:sz="4" w:space="0"/>
            </w:tcBorders>
            <w:vAlign w:val="center"/>
          </w:tcPr>
          <w:p w14:paraId="72905AC1">
            <w:pPr>
              <w:spacing w:before="60" w:after="60" w:line="276" w:lineRule="auto"/>
              <w:jc w:val="center"/>
              <w:rPr>
                <w:color w:val="000000"/>
                <w:sz w:val="26"/>
                <w:szCs w:val="26"/>
                <w:lang w:eastAsia="vi-VN"/>
              </w:rPr>
            </w:pPr>
            <w:r>
              <w:rPr>
                <w:color w:val="000000"/>
                <w:sz w:val="26"/>
                <w:szCs w:val="26"/>
                <w:lang w:eastAsia="vi-VN"/>
              </w:rPr>
              <w:t>1410</w:t>
            </w:r>
          </w:p>
        </w:tc>
      </w:tr>
      <w:tr w14:paraId="6AED3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03" w:type="pct"/>
            <w:vAlign w:val="center"/>
          </w:tcPr>
          <w:p w14:paraId="2E1AB83D">
            <w:pPr>
              <w:spacing w:before="60" w:after="60" w:line="276" w:lineRule="auto"/>
              <w:jc w:val="center"/>
              <w:rPr>
                <w:sz w:val="26"/>
                <w:szCs w:val="26"/>
              </w:rPr>
            </w:pPr>
            <w:r>
              <w:rPr>
                <w:sz w:val="26"/>
                <w:szCs w:val="26"/>
              </w:rPr>
              <w:t>2</w:t>
            </w:r>
          </w:p>
        </w:tc>
        <w:tc>
          <w:tcPr>
            <w:tcW w:w="2211" w:type="pct"/>
            <w:vAlign w:val="center"/>
          </w:tcPr>
          <w:p w14:paraId="67112057">
            <w:pPr>
              <w:spacing w:before="60" w:after="60" w:line="276" w:lineRule="auto"/>
              <w:jc w:val="both"/>
              <w:rPr>
                <w:color w:val="000000"/>
                <w:sz w:val="26"/>
                <w:szCs w:val="26"/>
              </w:rPr>
            </w:pPr>
            <w:r>
              <w:rPr>
                <w:color w:val="000000"/>
                <w:sz w:val="26"/>
                <w:szCs w:val="26"/>
              </w:rPr>
              <w:t xml:space="preserve">Cung cấp dịch vụ thu gom, vận chuyển, xử lý chất thải rắn thông thường khác (đồ vải, bàn ghế, nệm thải bỏ, </w:t>
            </w:r>
            <w:r>
              <w:rPr>
                <w:color w:val="000000"/>
                <w:sz w:val="26"/>
                <w:szCs w:val="26"/>
                <w:shd w:val="clear" w:color="auto" w:fill="FFFFFF"/>
              </w:rPr>
              <w:t>rác thải xây dựng</w:t>
            </w:r>
            <w:r>
              <w:rPr>
                <w:color w:val="000000"/>
                <w:sz w:val="26"/>
                <w:szCs w:val="26"/>
              </w:rPr>
              <w:t>…)</w:t>
            </w:r>
          </w:p>
        </w:tc>
        <w:tc>
          <w:tcPr>
            <w:tcW w:w="429" w:type="pct"/>
            <w:vAlign w:val="center"/>
          </w:tcPr>
          <w:p w14:paraId="485E8D57">
            <w:pPr>
              <w:spacing w:before="60" w:after="60" w:line="276" w:lineRule="auto"/>
              <w:jc w:val="center"/>
              <w:rPr>
                <w:sz w:val="26"/>
                <w:szCs w:val="26"/>
              </w:rPr>
            </w:pPr>
            <w:r>
              <w:rPr>
                <w:sz w:val="26"/>
                <w:szCs w:val="26"/>
              </w:rPr>
              <w:t>Tấn</w:t>
            </w:r>
          </w:p>
        </w:tc>
        <w:tc>
          <w:tcPr>
            <w:tcW w:w="685" w:type="pct"/>
            <w:vAlign w:val="center"/>
          </w:tcPr>
          <w:p w14:paraId="7DDC3C29">
            <w:pPr>
              <w:spacing w:before="60" w:after="60" w:line="276" w:lineRule="auto"/>
              <w:jc w:val="center"/>
              <w:rPr>
                <w:sz w:val="26"/>
                <w:szCs w:val="26"/>
              </w:rPr>
            </w:pPr>
            <w:r>
              <w:rPr>
                <w:sz w:val="26"/>
                <w:szCs w:val="26"/>
              </w:rPr>
              <w:t>33</w:t>
            </w:r>
          </w:p>
        </w:tc>
        <w:tc>
          <w:tcPr>
            <w:tcW w:w="685" w:type="pct"/>
            <w:vAlign w:val="center"/>
          </w:tcPr>
          <w:p w14:paraId="01E0D7F2">
            <w:pPr>
              <w:spacing w:before="60" w:after="60" w:line="276" w:lineRule="auto"/>
              <w:jc w:val="center"/>
              <w:rPr>
                <w:color w:val="000000"/>
                <w:sz w:val="26"/>
                <w:szCs w:val="26"/>
              </w:rPr>
            </w:pPr>
            <w:r>
              <w:rPr>
                <w:color w:val="000000"/>
                <w:sz w:val="26"/>
                <w:szCs w:val="26"/>
              </w:rPr>
              <w:t>2</w:t>
            </w:r>
          </w:p>
        </w:tc>
        <w:tc>
          <w:tcPr>
            <w:tcW w:w="685" w:type="pct"/>
            <w:tcBorders>
              <w:top w:val="nil"/>
              <w:left w:val="single" w:color="auto" w:sz="4" w:space="0"/>
              <w:bottom w:val="single" w:color="auto" w:sz="4" w:space="0"/>
              <w:right w:val="single" w:color="auto" w:sz="4" w:space="0"/>
            </w:tcBorders>
            <w:vAlign w:val="center"/>
          </w:tcPr>
          <w:p w14:paraId="09292A3E">
            <w:pPr>
              <w:spacing w:before="60" w:after="60" w:line="276" w:lineRule="auto"/>
              <w:jc w:val="center"/>
              <w:rPr>
                <w:color w:val="000000"/>
                <w:sz w:val="26"/>
                <w:szCs w:val="26"/>
              </w:rPr>
            </w:pPr>
            <w:r>
              <w:rPr>
                <w:color w:val="000000"/>
                <w:sz w:val="26"/>
                <w:szCs w:val="26"/>
              </w:rPr>
              <w:t>35</w:t>
            </w:r>
          </w:p>
        </w:tc>
      </w:tr>
    </w:tbl>
    <w:p w14:paraId="656EC3E6">
      <w:pPr>
        <w:pStyle w:val="13"/>
        <w:numPr>
          <w:ilvl w:val="0"/>
          <w:numId w:val="2"/>
        </w:numPr>
        <w:autoSpaceDE w:val="0"/>
        <w:autoSpaceDN w:val="0"/>
        <w:adjustRightInd w:val="0"/>
        <w:spacing w:before="120" w:after="120"/>
        <w:ind w:left="450"/>
        <w:rPr>
          <w:sz w:val="26"/>
          <w:szCs w:val="26"/>
        </w:rPr>
      </w:pPr>
      <w:r>
        <w:rPr>
          <w:sz w:val="26"/>
          <w:szCs w:val="26"/>
        </w:rPr>
        <w:t>Địa điểm thực hiện:</w:t>
      </w:r>
    </w:p>
    <w:p w14:paraId="1BE3066B">
      <w:pPr>
        <w:pStyle w:val="13"/>
        <w:numPr>
          <w:ilvl w:val="0"/>
          <w:numId w:val="4"/>
        </w:numPr>
        <w:autoSpaceDE w:val="0"/>
        <w:autoSpaceDN w:val="0"/>
        <w:adjustRightInd w:val="0"/>
        <w:spacing w:before="120" w:after="120"/>
        <w:rPr>
          <w:sz w:val="26"/>
          <w:szCs w:val="26"/>
        </w:rPr>
      </w:pPr>
      <w:r>
        <w:rPr>
          <w:sz w:val="26"/>
          <w:szCs w:val="26"/>
        </w:rPr>
        <w:t>Cơ sở 1: 215 Hồng Bàng, phường Chợ Lớn, Tp.Hồ Chí Minh</w:t>
      </w:r>
    </w:p>
    <w:p w14:paraId="73FD7151">
      <w:pPr>
        <w:pStyle w:val="13"/>
        <w:numPr>
          <w:ilvl w:val="0"/>
          <w:numId w:val="4"/>
        </w:numPr>
        <w:autoSpaceDE w:val="0"/>
        <w:autoSpaceDN w:val="0"/>
        <w:adjustRightInd w:val="0"/>
        <w:spacing w:before="120" w:after="120"/>
        <w:rPr>
          <w:bCs/>
          <w:sz w:val="26"/>
          <w:szCs w:val="26"/>
        </w:rPr>
      </w:pPr>
      <w:r>
        <w:rPr>
          <w:sz w:val="26"/>
          <w:szCs w:val="26"/>
        </w:rPr>
        <w:t xml:space="preserve">Cơ sở 2: 201 Nguyễn Chí Thanh, phường Chợ Lớn, </w:t>
      </w:r>
      <w:r>
        <w:rPr>
          <w:bCs/>
          <w:sz w:val="26"/>
          <w:szCs w:val="26"/>
        </w:rPr>
        <w:t>Tp.Hồ Chí Minh</w:t>
      </w:r>
    </w:p>
    <w:p w14:paraId="25207836">
      <w:pPr>
        <w:pStyle w:val="13"/>
        <w:autoSpaceDE w:val="0"/>
        <w:autoSpaceDN w:val="0"/>
        <w:adjustRightInd w:val="0"/>
        <w:spacing w:before="120" w:after="120"/>
        <w:rPr>
          <w:sz w:val="26"/>
          <w:szCs w:val="26"/>
        </w:rPr>
      </w:pPr>
    </w:p>
    <w:p w14:paraId="5ABE1330">
      <w:pPr>
        <w:pStyle w:val="13"/>
        <w:numPr>
          <w:ilvl w:val="0"/>
          <w:numId w:val="1"/>
        </w:numPr>
        <w:spacing w:before="60" w:after="60" w:line="276" w:lineRule="auto"/>
        <w:ind w:left="450"/>
        <w:jc w:val="left"/>
        <w:rPr>
          <w:b/>
          <w:sz w:val="26"/>
          <w:szCs w:val="26"/>
        </w:rPr>
      </w:pPr>
      <w:r>
        <w:rPr>
          <w:b/>
          <w:sz w:val="26"/>
          <w:szCs w:val="26"/>
        </w:rPr>
        <w:t>Yêu cầu kỹ thuật:</w:t>
      </w:r>
    </w:p>
    <w:p w14:paraId="349599B5">
      <w:pPr>
        <w:autoSpaceDE w:val="0"/>
        <w:autoSpaceDN w:val="0"/>
        <w:adjustRightInd w:val="0"/>
        <w:spacing w:before="120" w:line="276" w:lineRule="auto"/>
        <w:ind w:left="66"/>
        <w:jc w:val="both"/>
        <w:rPr>
          <w:b/>
          <w:sz w:val="26"/>
          <w:szCs w:val="26"/>
        </w:rPr>
      </w:pPr>
      <w:r>
        <w:rPr>
          <w:b/>
          <w:sz w:val="26"/>
          <w:szCs w:val="26"/>
        </w:rPr>
        <w:t>2.</w:t>
      </w:r>
      <w:r>
        <w:rPr>
          <w:rFonts w:hint="default"/>
          <w:b/>
          <w:sz w:val="26"/>
          <w:szCs w:val="26"/>
          <w:lang w:val="en-US"/>
        </w:rPr>
        <w:t>1</w:t>
      </w:r>
      <w:r>
        <w:rPr>
          <w:b/>
          <w:sz w:val="26"/>
          <w:szCs w:val="26"/>
        </w:rPr>
        <w:t xml:space="preserve"> Yêu cầu chung.</w:t>
      </w:r>
    </w:p>
    <w:p w14:paraId="5783D14C">
      <w:pPr>
        <w:pStyle w:val="13"/>
        <w:numPr>
          <w:ilvl w:val="0"/>
          <w:numId w:val="2"/>
        </w:numPr>
        <w:autoSpaceDE w:val="0"/>
        <w:autoSpaceDN w:val="0"/>
        <w:adjustRightInd w:val="0"/>
        <w:spacing w:before="120" w:after="120" w:line="276" w:lineRule="auto"/>
        <w:ind w:left="450"/>
        <w:rPr>
          <w:sz w:val="26"/>
          <w:szCs w:val="26"/>
          <w:lang w:val="de-DE"/>
        </w:rPr>
      </w:pPr>
      <w:r>
        <w:rPr>
          <w:sz w:val="26"/>
          <w:szCs w:val="26"/>
        </w:rPr>
        <w:t>Nhà thầu có chứng nhận đạt tiêu</w:t>
      </w:r>
      <w:r>
        <w:rPr>
          <w:color w:val="2E2E2E"/>
          <w:sz w:val="26"/>
          <w:szCs w:val="26"/>
        </w:rPr>
        <w:t xml:space="preserve"> chu</w:t>
      </w:r>
      <w:r>
        <w:rPr>
          <w:bCs/>
          <w:sz w:val="26"/>
          <w:szCs w:val="26"/>
        </w:rPr>
        <w:t>ẩn ISO 9001:2015; ISO 14001:2015;</w:t>
      </w:r>
    </w:p>
    <w:p w14:paraId="168C4704">
      <w:pPr>
        <w:pStyle w:val="13"/>
        <w:numPr>
          <w:ilvl w:val="0"/>
          <w:numId w:val="2"/>
        </w:numPr>
        <w:autoSpaceDE w:val="0"/>
        <w:autoSpaceDN w:val="0"/>
        <w:adjustRightInd w:val="0"/>
        <w:spacing w:before="120" w:after="120" w:line="276" w:lineRule="auto"/>
        <w:ind w:left="450"/>
        <w:rPr>
          <w:sz w:val="26"/>
          <w:szCs w:val="26"/>
        </w:rPr>
      </w:pPr>
      <w:r>
        <w:rPr>
          <w:sz w:val="26"/>
          <w:szCs w:val="26"/>
        </w:rPr>
        <w:t>Nhà thầu có kinh nghiệm thu gom, vận chuyển chất thải thông thường.</w:t>
      </w:r>
    </w:p>
    <w:p w14:paraId="6B5C10E1">
      <w:pPr>
        <w:pStyle w:val="13"/>
        <w:numPr>
          <w:ilvl w:val="0"/>
          <w:numId w:val="2"/>
        </w:numPr>
        <w:autoSpaceDE w:val="0"/>
        <w:autoSpaceDN w:val="0"/>
        <w:adjustRightInd w:val="0"/>
        <w:spacing w:before="120" w:after="120" w:line="276" w:lineRule="auto"/>
        <w:ind w:left="450"/>
        <w:rPr>
          <w:sz w:val="26"/>
          <w:szCs w:val="26"/>
          <w:lang w:val="de-DE"/>
        </w:rPr>
      </w:pPr>
      <w:r>
        <w:rPr>
          <w:sz w:val="26"/>
          <w:szCs w:val="26"/>
          <w:lang w:val="de-DE"/>
        </w:rPr>
        <w:t xml:space="preserve">Chất </w:t>
      </w:r>
      <w:r>
        <w:rPr>
          <w:sz w:val="26"/>
          <w:szCs w:val="26"/>
        </w:rPr>
        <w:t>thải</w:t>
      </w:r>
      <w:r>
        <w:rPr>
          <w:sz w:val="26"/>
          <w:szCs w:val="26"/>
          <w:lang w:val="de-DE"/>
        </w:rPr>
        <w:t xml:space="preserve"> được thu gom, vận chuyển đến nơi xử lý, xử lý theo đúng quy định của pháp luật.</w:t>
      </w:r>
    </w:p>
    <w:p w14:paraId="1B6012F2">
      <w:pPr>
        <w:pStyle w:val="13"/>
        <w:numPr>
          <w:ilvl w:val="0"/>
          <w:numId w:val="2"/>
        </w:numPr>
        <w:autoSpaceDE w:val="0"/>
        <w:autoSpaceDN w:val="0"/>
        <w:adjustRightInd w:val="0"/>
        <w:spacing w:before="120" w:after="120" w:line="276" w:lineRule="auto"/>
        <w:ind w:left="450"/>
        <w:rPr>
          <w:sz w:val="26"/>
          <w:szCs w:val="26"/>
        </w:rPr>
      </w:pPr>
      <w:r>
        <w:rPr>
          <w:sz w:val="26"/>
          <w:szCs w:val="26"/>
          <w:lang w:val="de-DE"/>
        </w:rPr>
        <w:t xml:space="preserve">Quá </w:t>
      </w:r>
      <w:r>
        <w:rPr>
          <w:sz w:val="26"/>
          <w:szCs w:val="26"/>
        </w:rPr>
        <w:t>trình thu gom đảm bảo không mùi hôi, sạch sẽ, an toàn vệ sinh lao động và môi trường xung quanh. Xử lý mùi bằng hóa chất trong và sau quá trình thu gom không để rơi vãi chất thải, phát tán bụi, mùi, nước rò rỉ.</w:t>
      </w:r>
    </w:p>
    <w:p w14:paraId="4A72A41A">
      <w:pPr>
        <w:pStyle w:val="13"/>
        <w:numPr>
          <w:ilvl w:val="0"/>
          <w:numId w:val="2"/>
        </w:numPr>
        <w:autoSpaceDE w:val="0"/>
        <w:autoSpaceDN w:val="0"/>
        <w:adjustRightInd w:val="0"/>
        <w:spacing w:before="120" w:after="120" w:line="276" w:lineRule="auto"/>
        <w:ind w:left="450"/>
        <w:rPr>
          <w:sz w:val="26"/>
          <w:szCs w:val="26"/>
        </w:rPr>
      </w:pPr>
      <w:r>
        <w:rPr>
          <w:sz w:val="26"/>
          <w:szCs w:val="26"/>
        </w:rPr>
        <w:t>Nhà thầu chịu trách nhiệm thu gom, vận chuyển, xử lý chất thải rắn thông thường và các loại c</w:t>
      </w:r>
      <w:r>
        <w:rPr>
          <w:color w:val="2E2E2E"/>
          <w:sz w:val="26"/>
          <w:szCs w:val="26"/>
        </w:rPr>
        <w:t>hất thải rắn thông thường khác (đồ vải, bàn ghế, nệm thải bỏ…).</w:t>
      </w:r>
    </w:p>
    <w:p w14:paraId="3C5EA2A5">
      <w:pPr>
        <w:pStyle w:val="13"/>
        <w:numPr>
          <w:ilvl w:val="0"/>
          <w:numId w:val="2"/>
        </w:numPr>
        <w:autoSpaceDE w:val="0"/>
        <w:autoSpaceDN w:val="0"/>
        <w:adjustRightInd w:val="0"/>
        <w:spacing w:before="120" w:after="120" w:line="276" w:lineRule="auto"/>
        <w:ind w:left="450"/>
        <w:rPr>
          <w:sz w:val="26"/>
          <w:szCs w:val="26"/>
        </w:rPr>
      </w:pPr>
      <w:r>
        <w:rPr>
          <w:sz w:val="26"/>
          <w:szCs w:val="26"/>
        </w:rPr>
        <w:t>Chịu trách nhiệm xin phép các cơ quan chức năng trong việc đỗ xe, vị trí thu gom, vận chuyển chất thải thông thường tại Bệnh viện.</w:t>
      </w:r>
    </w:p>
    <w:p w14:paraId="46249E06">
      <w:pPr>
        <w:pStyle w:val="13"/>
        <w:numPr>
          <w:ilvl w:val="0"/>
          <w:numId w:val="2"/>
        </w:numPr>
        <w:autoSpaceDE w:val="0"/>
        <w:autoSpaceDN w:val="0"/>
        <w:adjustRightInd w:val="0"/>
        <w:spacing w:before="120" w:after="120" w:line="276" w:lineRule="auto"/>
        <w:ind w:left="450"/>
        <w:rPr>
          <w:sz w:val="26"/>
          <w:szCs w:val="26"/>
        </w:rPr>
      </w:pPr>
      <w:r>
        <w:rPr>
          <w:sz w:val="26"/>
          <w:szCs w:val="26"/>
        </w:rPr>
        <w:t>Có đầy đủ biển báo an toàn theo quy định của pháp luật khi thực hiện việc thu gom, vận chuyển.</w:t>
      </w:r>
    </w:p>
    <w:p w14:paraId="3EB0AEE5">
      <w:pPr>
        <w:pStyle w:val="13"/>
        <w:numPr>
          <w:ilvl w:val="0"/>
          <w:numId w:val="2"/>
        </w:numPr>
        <w:autoSpaceDE w:val="0"/>
        <w:autoSpaceDN w:val="0"/>
        <w:adjustRightInd w:val="0"/>
        <w:spacing w:before="120" w:after="120" w:line="276" w:lineRule="auto"/>
        <w:ind w:left="450"/>
        <w:rPr>
          <w:sz w:val="26"/>
          <w:szCs w:val="26"/>
          <w:lang w:val="de-DE"/>
        </w:rPr>
      </w:pPr>
      <w:r>
        <w:rPr>
          <w:sz w:val="26"/>
          <w:szCs w:val="26"/>
        </w:rPr>
        <w:t>Khô</w:t>
      </w:r>
      <w:r>
        <w:rPr>
          <w:sz w:val="26"/>
          <w:szCs w:val="26"/>
          <w:lang w:val="de-DE"/>
        </w:rPr>
        <w:t>ng được tập kết chất thải của nơi khác đến Bệnh viện để thu gom.</w:t>
      </w:r>
    </w:p>
    <w:p w14:paraId="15A9AD35">
      <w:pPr>
        <w:pStyle w:val="13"/>
        <w:numPr>
          <w:ilvl w:val="0"/>
          <w:numId w:val="2"/>
        </w:numPr>
        <w:autoSpaceDE w:val="0"/>
        <w:autoSpaceDN w:val="0"/>
        <w:adjustRightInd w:val="0"/>
        <w:spacing w:before="120" w:after="120" w:line="276" w:lineRule="auto"/>
        <w:ind w:left="450"/>
        <w:rPr>
          <w:sz w:val="26"/>
          <w:szCs w:val="26"/>
        </w:rPr>
      </w:pPr>
      <w:r>
        <w:rPr>
          <w:sz w:val="26"/>
          <w:szCs w:val="26"/>
          <w:lang w:val="de-DE"/>
        </w:rPr>
        <w:t>Cung cấp cho Bệnh viện mượn 120 thùng rác màu xanh 240 lít, 4 thùng rác màu xanh 660 lít.</w:t>
      </w:r>
    </w:p>
    <w:p w14:paraId="73377922">
      <w:pPr>
        <w:pStyle w:val="13"/>
        <w:numPr>
          <w:ilvl w:val="0"/>
          <w:numId w:val="2"/>
        </w:numPr>
        <w:autoSpaceDE w:val="0"/>
        <w:autoSpaceDN w:val="0"/>
        <w:adjustRightInd w:val="0"/>
        <w:spacing w:before="120" w:after="120" w:line="276" w:lineRule="auto"/>
        <w:ind w:left="450"/>
        <w:rPr>
          <w:bCs/>
          <w:strike/>
          <w:sz w:val="26"/>
          <w:szCs w:val="26"/>
        </w:rPr>
      </w:pPr>
      <w:r>
        <w:rPr>
          <w:sz w:val="26"/>
          <w:szCs w:val="26"/>
          <w:lang w:val="de-DE"/>
        </w:rPr>
        <w:t xml:space="preserve">Giữ </w:t>
      </w:r>
      <w:r>
        <w:rPr>
          <w:bCs/>
          <w:sz w:val="26"/>
          <w:szCs w:val="26"/>
        </w:rPr>
        <w:t>vệ sinh môi trường sạch sẽ, không gây ảnh hưởng đến hoạt động của Bệnh viện, đảm bảo không để rơi vãi, tràn đổ chất thải trong quá trình thu gom, vận chuyển.</w:t>
      </w:r>
    </w:p>
    <w:p w14:paraId="62E44271">
      <w:pPr>
        <w:pStyle w:val="13"/>
        <w:numPr>
          <w:ilvl w:val="0"/>
          <w:numId w:val="2"/>
        </w:numPr>
        <w:autoSpaceDE w:val="0"/>
        <w:autoSpaceDN w:val="0"/>
        <w:adjustRightInd w:val="0"/>
        <w:spacing w:before="120" w:after="120" w:line="276" w:lineRule="auto"/>
        <w:ind w:left="450"/>
        <w:rPr>
          <w:bCs/>
          <w:sz w:val="26"/>
          <w:szCs w:val="26"/>
        </w:rPr>
      </w:pPr>
      <w:r>
        <w:rPr>
          <w:bCs/>
          <w:sz w:val="26"/>
          <w:szCs w:val="26"/>
        </w:rPr>
        <w:t>Tuyệt đối chấp hành nghiêm tất cả các yêu cầu về nội quy, quy định an toàn lao động, phòng cháy chữa cháy, hướng dẫn của nhân viên Bệnh viện trong quá trình làm việc tại Bệnh viện.</w:t>
      </w:r>
    </w:p>
    <w:p w14:paraId="04ABFF15">
      <w:pPr>
        <w:pStyle w:val="13"/>
        <w:numPr>
          <w:ilvl w:val="0"/>
          <w:numId w:val="2"/>
        </w:numPr>
        <w:autoSpaceDE w:val="0"/>
        <w:autoSpaceDN w:val="0"/>
        <w:adjustRightInd w:val="0"/>
        <w:spacing w:before="120" w:after="120" w:line="276" w:lineRule="auto"/>
        <w:ind w:left="450"/>
        <w:rPr>
          <w:sz w:val="26"/>
          <w:szCs w:val="26"/>
        </w:rPr>
      </w:pPr>
      <w:r>
        <w:rPr>
          <w:sz w:val="26"/>
          <w:szCs w:val="26"/>
        </w:rPr>
        <w:t xml:space="preserve">Nhà thầu </w:t>
      </w:r>
      <w:r>
        <w:rPr>
          <w:bCs/>
          <w:sz w:val="26"/>
          <w:szCs w:val="26"/>
        </w:rPr>
        <w:t>phải</w:t>
      </w:r>
      <w:r>
        <w:rPr>
          <w:sz w:val="26"/>
          <w:szCs w:val="26"/>
        </w:rPr>
        <w:t xml:space="preserve"> trình bày Giải pháp và phương pháp luận tổng quát để thực hiện dịch vụ.</w:t>
      </w:r>
    </w:p>
    <w:p w14:paraId="0C06C450">
      <w:pPr>
        <w:autoSpaceDE w:val="0"/>
        <w:autoSpaceDN w:val="0"/>
        <w:adjustRightInd w:val="0"/>
        <w:spacing w:before="120" w:line="276" w:lineRule="auto"/>
        <w:ind w:left="66"/>
        <w:jc w:val="both"/>
        <w:rPr>
          <w:b/>
          <w:bCs/>
          <w:sz w:val="26"/>
          <w:szCs w:val="26"/>
        </w:rPr>
      </w:pPr>
      <w:r>
        <w:rPr>
          <w:b/>
          <w:bCs/>
          <w:sz w:val="26"/>
          <w:szCs w:val="26"/>
        </w:rPr>
        <w:t>2.</w:t>
      </w:r>
      <w:r>
        <w:rPr>
          <w:rFonts w:hint="default"/>
          <w:b/>
          <w:bCs/>
          <w:sz w:val="26"/>
          <w:szCs w:val="26"/>
          <w:lang w:val="en-US"/>
        </w:rPr>
        <w:t>2</w:t>
      </w:r>
      <w:r>
        <w:rPr>
          <w:b/>
          <w:bCs/>
          <w:sz w:val="26"/>
          <w:szCs w:val="26"/>
        </w:rPr>
        <w:t xml:space="preserve"> Yêu </w:t>
      </w:r>
      <w:r>
        <w:rPr>
          <w:b/>
          <w:sz w:val="26"/>
          <w:szCs w:val="26"/>
        </w:rPr>
        <w:t>cầu</w:t>
      </w:r>
      <w:r>
        <w:rPr>
          <w:b/>
          <w:bCs/>
          <w:sz w:val="26"/>
          <w:szCs w:val="26"/>
        </w:rPr>
        <w:t xml:space="preserve"> về phương tiện vận chuyển:</w:t>
      </w:r>
    </w:p>
    <w:p w14:paraId="0017BAE1">
      <w:pPr>
        <w:pStyle w:val="13"/>
        <w:numPr>
          <w:ilvl w:val="0"/>
          <w:numId w:val="2"/>
        </w:numPr>
        <w:autoSpaceDE w:val="0"/>
        <w:autoSpaceDN w:val="0"/>
        <w:adjustRightInd w:val="0"/>
        <w:spacing w:before="120" w:after="120" w:line="276" w:lineRule="auto"/>
        <w:ind w:left="450"/>
        <w:rPr>
          <w:bCs/>
          <w:sz w:val="26"/>
          <w:szCs w:val="26"/>
        </w:rPr>
      </w:pPr>
      <w:r>
        <w:rPr>
          <w:sz w:val="26"/>
          <w:szCs w:val="26"/>
          <w:lang w:val="de-DE"/>
        </w:rPr>
        <w:t xml:space="preserve">Tối </w:t>
      </w:r>
      <w:r>
        <w:rPr>
          <w:bCs/>
          <w:sz w:val="26"/>
          <w:szCs w:val="26"/>
        </w:rPr>
        <w:t>thiểu 1 xe thu gom, vận chuyển chuyên dùng có khả năng thu gom và vận chuyển trong thời gian bệnh viện quy định mục yêu cầu về thời gian và địa điểm thực hiện.</w:t>
      </w:r>
    </w:p>
    <w:p w14:paraId="05AFCEDD">
      <w:pPr>
        <w:pStyle w:val="13"/>
        <w:numPr>
          <w:ilvl w:val="0"/>
          <w:numId w:val="2"/>
        </w:numPr>
        <w:autoSpaceDE w:val="0"/>
        <w:autoSpaceDN w:val="0"/>
        <w:adjustRightInd w:val="0"/>
        <w:spacing w:before="120" w:after="120" w:line="276" w:lineRule="auto"/>
        <w:ind w:left="450"/>
        <w:rPr>
          <w:bCs/>
          <w:sz w:val="26"/>
          <w:szCs w:val="26"/>
        </w:rPr>
      </w:pPr>
      <w:r>
        <w:rPr>
          <w:bCs/>
          <w:sz w:val="26"/>
          <w:szCs w:val="26"/>
        </w:rPr>
        <w:t>Khi xe đến thu gom phải sạch, không mùi hôi.</w:t>
      </w:r>
    </w:p>
    <w:p w14:paraId="450D2077">
      <w:pPr>
        <w:pStyle w:val="13"/>
        <w:numPr>
          <w:ilvl w:val="0"/>
          <w:numId w:val="2"/>
        </w:numPr>
        <w:autoSpaceDE w:val="0"/>
        <w:autoSpaceDN w:val="0"/>
        <w:adjustRightInd w:val="0"/>
        <w:spacing w:before="120" w:after="120" w:line="276" w:lineRule="auto"/>
        <w:ind w:left="450"/>
        <w:rPr>
          <w:sz w:val="26"/>
          <w:szCs w:val="26"/>
          <w:lang w:val="de-DE"/>
        </w:rPr>
      </w:pPr>
      <w:r>
        <w:rPr>
          <w:bCs/>
          <w:sz w:val="26"/>
          <w:szCs w:val="26"/>
        </w:rPr>
        <w:t>Trong quá trình vận chuyển phải đảm bảo không rơi vãi chất thải, không phát tán bụi</w:t>
      </w:r>
      <w:r>
        <w:rPr>
          <w:sz w:val="26"/>
          <w:szCs w:val="26"/>
          <w:lang w:val="de-DE"/>
        </w:rPr>
        <w:t>, mùi, nước rò rỉ.</w:t>
      </w:r>
    </w:p>
    <w:p w14:paraId="793F8F96">
      <w:pPr>
        <w:autoSpaceDE w:val="0"/>
        <w:autoSpaceDN w:val="0"/>
        <w:adjustRightInd w:val="0"/>
        <w:spacing w:before="120" w:line="276" w:lineRule="auto"/>
        <w:ind w:left="66"/>
        <w:jc w:val="both"/>
        <w:rPr>
          <w:sz w:val="26"/>
          <w:szCs w:val="26"/>
          <w:lang w:val="de-DE"/>
        </w:rPr>
      </w:pPr>
      <w:r>
        <w:rPr>
          <w:b/>
          <w:bCs/>
          <w:sz w:val="26"/>
          <w:szCs w:val="26"/>
        </w:rPr>
        <w:t>2.</w:t>
      </w:r>
      <w:r>
        <w:rPr>
          <w:rFonts w:hint="default"/>
          <w:b/>
          <w:bCs/>
          <w:sz w:val="26"/>
          <w:szCs w:val="26"/>
          <w:lang w:val="en-US"/>
        </w:rPr>
        <w:t>3</w:t>
      </w:r>
      <w:r>
        <w:rPr>
          <w:b/>
          <w:bCs/>
          <w:sz w:val="26"/>
          <w:szCs w:val="26"/>
        </w:rPr>
        <w:t xml:space="preserve"> </w:t>
      </w:r>
      <w:r>
        <w:rPr>
          <w:b/>
          <w:sz w:val="26"/>
          <w:szCs w:val="26"/>
          <w:lang w:val="de-DE"/>
        </w:rPr>
        <w:t>Yêu cầu về thời gian và địa điểm thực hiện</w:t>
      </w:r>
    </w:p>
    <w:p w14:paraId="72876B3E">
      <w:pPr>
        <w:pStyle w:val="13"/>
        <w:numPr>
          <w:ilvl w:val="0"/>
          <w:numId w:val="2"/>
        </w:numPr>
        <w:autoSpaceDE w:val="0"/>
        <w:autoSpaceDN w:val="0"/>
        <w:adjustRightInd w:val="0"/>
        <w:spacing w:before="120" w:after="120" w:line="276" w:lineRule="auto"/>
        <w:ind w:left="450"/>
        <w:rPr>
          <w:bCs/>
          <w:sz w:val="26"/>
          <w:szCs w:val="26"/>
        </w:rPr>
      </w:pPr>
      <w:r>
        <w:rPr>
          <w:bCs/>
          <w:sz w:val="26"/>
          <w:szCs w:val="26"/>
        </w:rPr>
        <w:t>Thực hiện thu gom tất cả các ngày trong năm bao gồm cả ngày thứ 7, chủ nhật, nghỉ lễ...</w:t>
      </w:r>
    </w:p>
    <w:p w14:paraId="75DB58D0">
      <w:pPr>
        <w:pStyle w:val="13"/>
        <w:numPr>
          <w:ilvl w:val="0"/>
          <w:numId w:val="2"/>
        </w:numPr>
        <w:autoSpaceDE w:val="0"/>
        <w:autoSpaceDN w:val="0"/>
        <w:adjustRightInd w:val="0"/>
        <w:spacing w:before="120" w:after="120" w:line="276" w:lineRule="auto"/>
        <w:ind w:left="450"/>
        <w:rPr>
          <w:bCs/>
          <w:sz w:val="26"/>
          <w:szCs w:val="26"/>
        </w:rPr>
      </w:pPr>
      <w:r>
        <w:rPr>
          <w:sz w:val="26"/>
          <w:szCs w:val="26"/>
          <w:lang w:val="de-DE"/>
        </w:rPr>
        <w:t xml:space="preserve">Tần </w:t>
      </w:r>
      <w:r>
        <w:rPr>
          <w:bCs/>
          <w:sz w:val="26"/>
          <w:szCs w:val="26"/>
        </w:rPr>
        <w:t>suất thu gom: 2 lần/ngày. Thời gian: sáng khoảng 5:00, trưa khoảng 13:30. (Có thể thay đổi tùy tình hình thực tế theo yêu cầu của Bệnh viện).</w:t>
      </w:r>
    </w:p>
    <w:p w14:paraId="6B18D04C">
      <w:pPr>
        <w:pStyle w:val="13"/>
        <w:numPr>
          <w:ilvl w:val="0"/>
          <w:numId w:val="2"/>
        </w:numPr>
        <w:autoSpaceDE w:val="0"/>
        <w:autoSpaceDN w:val="0"/>
        <w:adjustRightInd w:val="0"/>
        <w:spacing w:before="120" w:after="120" w:line="276" w:lineRule="auto"/>
        <w:ind w:left="450"/>
        <w:rPr>
          <w:bCs/>
          <w:sz w:val="26"/>
          <w:szCs w:val="26"/>
        </w:rPr>
      </w:pPr>
      <w:r>
        <w:rPr>
          <w:bCs/>
          <w:sz w:val="26"/>
          <w:szCs w:val="26"/>
        </w:rPr>
        <w:t>Thời gian 1 lần thu gom không quá 60 phút. Đảm bảo thu gom hết chất thải thông thường của bệnh viện.</w:t>
      </w:r>
    </w:p>
    <w:p w14:paraId="17A13961">
      <w:pPr>
        <w:pStyle w:val="13"/>
        <w:numPr>
          <w:ilvl w:val="0"/>
          <w:numId w:val="2"/>
        </w:numPr>
        <w:autoSpaceDE w:val="0"/>
        <w:autoSpaceDN w:val="0"/>
        <w:adjustRightInd w:val="0"/>
        <w:spacing w:before="120" w:after="120" w:line="276" w:lineRule="auto"/>
        <w:ind w:left="450"/>
        <w:rPr>
          <w:bCs/>
          <w:sz w:val="26"/>
          <w:szCs w:val="26"/>
        </w:rPr>
      </w:pPr>
      <w:r>
        <w:rPr>
          <w:bCs/>
          <w:sz w:val="26"/>
          <w:szCs w:val="26"/>
        </w:rPr>
        <w:t xml:space="preserve">Địa điểm thu gom tại Cơ sở 1: 215 Hồng Bàng, </w:t>
      </w:r>
      <w:r>
        <w:rPr>
          <w:sz w:val="26"/>
          <w:szCs w:val="26"/>
        </w:rPr>
        <w:t>phường Chợ Lớn</w:t>
      </w:r>
      <w:r>
        <w:rPr>
          <w:bCs/>
          <w:sz w:val="26"/>
          <w:szCs w:val="26"/>
        </w:rPr>
        <w:t>, Tp. Hồ Chí Minh</w:t>
      </w:r>
    </w:p>
    <w:p w14:paraId="4FD746F9">
      <w:pPr>
        <w:pStyle w:val="13"/>
        <w:numPr>
          <w:ilvl w:val="0"/>
          <w:numId w:val="2"/>
        </w:numPr>
        <w:autoSpaceDE w:val="0"/>
        <w:autoSpaceDN w:val="0"/>
        <w:adjustRightInd w:val="0"/>
        <w:spacing w:before="120" w:after="120" w:line="276" w:lineRule="auto"/>
        <w:ind w:left="450"/>
        <w:contextualSpacing w:val="0"/>
        <w:rPr>
          <w:bCs/>
          <w:sz w:val="26"/>
          <w:szCs w:val="26"/>
        </w:rPr>
      </w:pPr>
      <w:r>
        <w:rPr>
          <w:bCs/>
          <w:sz w:val="26"/>
          <w:szCs w:val="26"/>
        </w:rPr>
        <w:t xml:space="preserve">Địa điểm thu gom tại Cơ sở 2: 201 Nguyễn Chí Thanh, </w:t>
      </w:r>
      <w:r>
        <w:rPr>
          <w:sz w:val="26"/>
          <w:szCs w:val="26"/>
        </w:rPr>
        <w:t>phường Chợ Lớn</w:t>
      </w:r>
      <w:r>
        <w:rPr>
          <w:bCs/>
          <w:sz w:val="26"/>
          <w:szCs w:val="26"/>
        </w:rPr>
        <w:t>, Tp.Hồ Chí Minh</w:t>
      </w:r>
    </w:p>
    <w:sectPr>
      <w:headerReference r:id="rId5" w:type="default"/>
      <w:footerReference r:id="rId6" w:type="default"/>
      <w:pgSz w:w="11907" w:h="16839"/>
      <w:pgMar w:top="1152" w:right="1152" w:bottom="1152" w:left="993" w:header="720" w:footer="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VNI-Palati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5392945"/>
      <w:docPartObj>
        <w:docPartGallery w:val="AutoText"/>
      </w:docPartObj>
    </w:sdtPr>
    <w:sdtContent>
      <w:sdt>
        <w:sdtPr>
          <w:id w:val="1751617394"/>
          <w:docPartObj>
            <w:docPartGallery w:val="AutoText"/>
          </w:docPartObj>
        </w:sdtPr>
        <w:sdtContent>
          <w:p w14:paraId="6E6A3621">
            <w:pPr>
              <w:pStyle w:val="9"/>
              <w:jc w:val="right"/>
            </w:pPr>
            <w:r>
              <w:t xml:space="preserve"> </w:t>
            </w:r>
            <w:r>
              <w:fldChar w:fldCharType="begin"/>
            </w:r>
            <w:r>
              <w:instrText xml:space="preserve"> PAGE </w:instrText>
            </w:r>
            <w:r>
              <w:fldChar w:fldCharType="separate"/>
            </w:r>
            <w:r>
              <w:t>2</w:t>
            </w:r>
            <w:r>
              <w:fldChar w:fldCharType="end"/>
            </w:r>
            <w:r>
              <w:t>/</w:t>
            </w:r>
            <w:r>
              <w:fldChar w:fldCharType="begin"/>
            </w:r>
            <w:r>
              <w:instrText xml:space="preserve"> NUMPAGES  </w:instrText>
            </w:r>
            <w:r>
              <w:fldChar w:fldCharType="separate"/>
            </w:r>
            <w:r>
              <w:t>2</w:t>
            </w:r>
            <w:r>
              <w:fldChar w:fldCharType="end"/>
            </w:r>
          </w:p>
        </w:sdtContent>
      </w:sdt>
    </w:sdtContent>
  </w:sdt>
  <w:p w14:paraId="7BAB8FAA">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7889244"/>
      <w:docPartObj>
        <w:docPartGallery w:val="AutoText"/>
      </w:docPartObj>
    </w:sdtPr>
    <w:sdtContent>
      <w:p w14:paraId="00BD1F8D">
        <w:pPr>
          <w:pStyle w:val="10"/>
          <w:jc w:val="center"/>
        </w:pPr>
        <w:r>
          <w:fldChar w:fldCharType="begin"/>
        </w:r>
        <w:r>
          <w:instrText xml:space="preserve"> PAGE   \* MERGEFORMAT </w:instrText>
        </w:r>
        <w:r>
          <w:fldChar w:fldCharType="separate"/>
        </w:r>
        <w:r>
          <w:t>2</w:t>
        </w:r>
        <w:r>
          <w:fldChar w:fldCharType="end"/>
        </w:r>
      </w:p>
    </w:sdtContent>
  </w:sdt>
  <w:p w14:paraId="727020CB">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163A20"/>
    <w:multiLevelType w:val="multilevel"/>
    <w:tmpl w:val="11163A2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6E470E4"/>
    <w:multiLevelType w:val="multilevel"/>
    <w:tmpl w:val="16E470E4"/>
    <w:lvl w:ilvl="0" w:tentative="0">
      <w:start w:val="0"/>
      <w:numFmt w:val="bullet"/>
      <w:lvlText w:val="-"/>
      <w:lvlJc w:val="left"/>
      <w:pPr>
        <w:ind w:left="720" w:hanging="360"/>
      </w:pPr>
      <w:rPr>
        <w:rFonts w:hint="default" w:ascii="Times New Roman" w:hAnsi="Times New Roman" w:eastAsia="Times New Roman" w:cs="Times New Roman"/>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36356D2"/>
    <w:multiLevelType w:val="multilevel"/>
    <w:tmpl w:val="536356D2"/>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3">
    <w:nsid w:val="6E6E42E6"/>
    <w:multiLevelType w:val="multilevel"/>
    <w:tmpl w:val="6E6E42E6"/>
    <w:lvl w:ilvl="0" w:tentative="0">
      <w:start w:val="1"/>
      <w:numFmt w:val="decimal"/>
      <w:lvlText w:val="%1."/>
      <w:lvlJc w:val="left"/>
      <w:pPr>
        <w:ind w:left="360" w:hanging="360"/>
      </w:pPr>
      <w:rPr>
        <w:rFonts w:hint="default"/>
        <w:b/>
      </w:rPr>
    </w:lvl>
    <w:lvl w:ilvl="1" w:tentative="0">
      <w:start w:val="1"/>
      <w:numFmt w:val="decimal"/>
      <w:isLgl/>
      <w:lvlText w:val="%1.%2."/>
      <w:lvlJc w:val="left"/>
      <w:pPr>
        <w:ind w:left="720" w:hanging="720"/>
      </w:pPr>
      <w:rPr>
        <w:rFonts w:hint="default"/>
        <w:b/>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637F6D"/>
    <w:rsid w:val="00004673"/>
    <w:rsid w:val="00010131"/>
    <w:rsid w:val="00013133"/>
    <w:rsid w:val="0001727E"/>
    <w:rsid w:val="000207AB"/>
    <w:rsid w:val="000221D1"/>
    <w:rsid w:val="00062FA8"/>
    <w:rsid w:val="0009248C"/>
    <w:rsid w:val="000A55BC"/>
    <w:rsid w:val="000B0FDB"/>
    <w:rsid w:val="000D6F24"/>
    <w:rsid w:val="000F2A4C"/>
    <w:rsid w:val="00102D75"/>
    <w:rsid w:val="001063D9"/>
    <w:rsid w:val="00107DAE"/>
    <w:rsid w:val="001305C6"/>
    <w:rsid w:val="00136579"/>
    <w:rsid w:val="00143B9A"/>
    <w:rsid w:val="00147130"/>
    <w:rsid w:val="00165E05"/>
    <w:rsid w:val="00166877"/>
    <w:rsid w:val="001766E6"/>
    <w:rsid w:val="00190478"/>
    <w:rsid w:val="00190BE1"/>
    <w:rsid w:val="001C79E6"/>
    <w:rsid w:val="001E1435"/>
    <w:rsid w:val="001E3679"/>
    <w:rsid w:val="001E7876"/>
    <w:rsid w:val="001F2B4E"/>
    <w:rsid w:val="002031C3"/>
    <w:rsid w:val="00206D3D"/>
    <w:rsid w:val="00207CB6"/>
    <w:rsid w:val="00250DF5"/>
    <w:rsid w:val="002514B5"/>
    <w:rsid w:val="0028468C"/>
    <w:rsid w:val="00284B0A"/>
    <w:rsid w:val="002A3F71"/>
    <w:rsid w:val="002C3233"/>
    <w:rsid w:val="002C53FD"/>
    <w:rsid w:val="002E0B15"/>
    <w:rsid w:val="002F3557"/>
    <w:rsid w:val="003161D5"/>
    <w:rsid w:val="003170D9"/>
    <w:rsid w:val="00356A8F"/>
    <w:rsid w:val="00362774"/>
    <w:rsid w:val="00372C21"/>
    <w:rsid w:val="003877C1"/>
    <w:rsid w:val="003A05EE"/>
    <w:rsid w:val="003B1A4C"/>
    <w:rsid w:val="003B559E"/>
    <w:rsid w:val="003D0EBB"/>
    <w:rsid w:val="003D635F"/>
    <w:rsid w:val="00423D4E"/>
    <w:rsid w:val="0042418D"/>
    <w:rsid w:val="004313F5"/>
    <w:rsid w:val="00461479"/>
    <w:rsid w:val="004839E1"/>
    <w:rsid w:val="00487D41"/>
    <w:rsid w:val="00490DA3"/>
    <w:rsid w:val="004D40F3"/>
    <w:rsid w:val="00582F22"/>
    <w:rsid w:val="005B77B7"/>
    <w:rsid w:val="005F2917"/>
    <w:rsid w:val="0060551F"/>
    <w:rsid w:val="0061679A"/>
    <w:rsid w:val="00625633"/>
    <w:rsid w:val="00635FAF"/>
    <w:rsid w:val="00637F6D"/>
    <w:rsid w:val="006414C1"/>
    <w:rsid w:val="006741FC"/>
    <w:rsid w:val="00697FBD"/>
    <w:rsid w:val="006A0D4A"/>
    <w:rsid w:val="006A544D"/>
    <w:rsid w:val="006B010A"/>
    <w:rsid w:val="006B19E3"/>
    <w:rsid w:val="006C294E"/>
    <w:rsid w:val="006C3490"/>
    <w:rsid w:val="006D26BA"/>
    <w:rsid w:val="006D41AA"/>
    <w:rsid w:val="006E1967"/>
    <w:rsid w:val="006F0B27"/>
    <w:rsid w:val="006F249F"/>
    <w:rsid w:val="006F6717"/>
    <w:rsid w:val="00726C63"/>
    <w:rsid w:val="00734C5D"/>
    <w:rsid w:val="0075443A"/>
    <w:rsid w:val="007674CF"/>
    <w:rsid w:val="007B44A0"/>
    <w:rsid w:val="007D247D"/>
    <w:rsid w:val="007E465D"/>
    <w:rsid w:val="007E614B"/>
    <w:rsid w:val="007F2546"/>
    <w:rsid w:val="00801E1F"/>
    <w:rsid w:val="008062D5"/>
    <w:rsid w:val="00817F20"/>
    <w:rsid w:val="00857ECC"/>
    <w:rsid w:val="00890FED"/>
    <w:rsid w:val="00897C4A"/>
    <w:rsid w:val="008F22BB"/>
    <w:rsid w:val="009015A7"/>
    <w:rsid w:val="00917453"/>
    <w:rsid w:val="009205C9"/>
    <w:rsid w:val="009524C1"/>
    <w:rsid w:val="00981031"/>
    <w:rsid w:val="00982724"/>
    <w:rsid w:val="009950E4"/>
    <w:rsid w:val="009979BC"/>
    <w:rsid w:val="009C4D84"/>
    <w:rsid w:val="00A171F0"/>
    <w:rsid w:val="00A246E3"/>
    <w:rsid w:val="00A339A8"/>
    <w:rsid w:val="00A34574"/>
    <w:rsid w:val="00A57DCF"/>
    <w:rsid w:val="00A637EE"/>
    <w:rsid w:val="00AB4E2D"/>
    <w:rsid w:val="00AC5D43"/>
    <w:rsid w:val="00AE2F4F"/>
    <w:rsid w:val="00AE371B"/>
    <w:rsid w:val="00AE3A91"/>
    <w:rsid w:val="00AE4E12"/>
    <w:rsid w:val="00B11120"/>
    <w:rsid w:val="00B13C46"/>
    <w:rsid w:val="00B556E6"/>
    <w:rsid w:val="00B639B2"/>
    <w:rsid w:val="00B72E42"/>
    <w:rsid w:val="00B75B59"/>
    <w:rsid w:val="00BC0A3E"/>
    <w:rsid w:val="00BD23F3"/>
    <w:rsid w:val="00BD3734"/>
    <w:rsid w:val="00BE365F"/>
    <w:rsid w:val="00BE4A85"/>
    <w:rsid w:val="00BE7DD1"/>
    <w:rsid w:val="00C30E3F"/>
    <w:rsid w:val="00C36BF3"/>
    <w:rsid w:val="00C4326E"/>
    <w:rsid w:val="00C8196C"/>
    <w:rsid w:val="00C949E7"/>
    <w:rsid w:val="00CA0346"/>
    <w:rsid w:val="00CA0F1D"/>
    <w:rsid w:val="00CF114B"/>
    <w:rsid w:val="00D05EB9"/>
    <w:rsid w:val="00D17D98"/>
    <w:rsid w:val="00D4127A"/>
    <w:rsid w:val="00D44987"/>
    <w:rsid w:val="00D46136"/>
    <w:rsid w:val="00DB0938"/>
    <w:rsid w:val="00DB6A83"/>
    <w:rsid w:val="00DC51B1"/>
    <w:rsid w:val="00DE4A6A"/>
    <w:rsid w:val="00E039C0"/>
    <w:rsid w:val="00E060EF"/>
    <w:rsid w:val="00E1695A"/>
    <w:rsid w:val="00E34974"/>
    <w:rsid w:val="00E37F4A"/>
    <w:rsid w:val="00E5010C"/>
    <w:rsid w:val="00E57C51"/>
    <w:rsid w:val="00E72DA2"/>
    <w:rsid w:val="00E74417"/>
    <w:rsid w:val="00E76606"/>
    <w:rsid w:val="00E80F3E"/>
    <w:rsid w:val="00E93E2F"/>
    <w:rsid w:val="00EA1CC9"/>
    <w:rsid w:val="00EB095E"/>
    <w:rsid w:val="00EC0B9E"/>
    <w:rsid w:val="00F37452"/>
    <w:rsid w:val="00F47407"/>
    <w:rsid w:val="00F857C5"/>
    <w:rsid w:val="00FD000A"/>
    <w:rsid w:val="00FE2F55"/>
    <w:rsid w:val="00FF46DF"/>
    <w:rsid w:val="39057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6"/>
    <w:semiHidden/>
    <w:unhideWhenUsed/>
    <w:qFormat/>
    <w:uiPriority w:val="99"/>
    <w:rPr>
      <w:rFonts w:ascii="Tahoma" w:hAnsi="Tahoma" w:cs="Tahoma"/>
      <w:sz w:val="16"/>
      <w:szCs w:val="16"/>
    </w:rPr>
  </w:style>
  <w:style w:type="paragraph" w:styleId="5">
    <w:name w:val="Body Text"/>
    <w:basedOn w:val="1"/>
    <w:link w:val="12"/>
    <w:qFormat/>
    <w:uiPriority w:val="0"/>
    <w:pPr>
      <w:spacing w:after="120"/>
    </w:pPr>
    <w:rPr>
      <w:rFonts w:ascii=".VnTime" w:hAnsi=".VnTime"/>
      <w:sz w:val="28"/>
      <w:szCs w:val="20"/>
    </w:rPr>
  </w:style>
  <w:style w:type="character" w:styleId="6">
    <w:name w:val="annotation reference"/>
    <w:basedOn w:val="2"/>
    <w:semiHidden/>
    <w:unhideWhenUsed/>
    <w:qFormat/>
    <w:uiPriority w:val="99"/>
    <w:rPr>
      <w:sz w:val="16"/>
      <w:szCs w:val="16"/>
    </w:rPr>
  </w:style>
  <w:style w:type="paragraph" w:styleId="7">
    <w:name w:val="annotation text"/>
    <w:basedOn w:val="1"/>
    <w:link w:val="14"/>
    <w:semiHidden/>
    <w:unhideWhenUsed/>
    <w:qFormat/>
    <w:uiPriority w:val="99"/>
    <w:rPr>
      <w:sz w:val="20"/>
      <w:szCs w:val="20"/>
    </w:rPr>
  </w:style>
  <w:style w:type="paragraph" w:styleId="8">
    <w:name w:val="annotation subject"/>
    <w:basedOn w:val="7"/>
    <w:next w:val="7"/>
    <w:link w:val="15"/>
    <w:semiHidden/>
    <w:unhideWhenUsed/>
    <w:qFormat/>
    <w:uiPriority w:val="99"/>
    <w:rPr>
      <w:b/>
      <w:bCs/>
    </w:rPr>
  </w:style>
  <w:style w:type="paragraph" w:styleId="9">
    <w:name w:val="footer"/>
    <w:basedOn w:val="1"/>
    <w:link w:val="18"/>
    <w:unhideWhenUsed/>
    <w:qFormat/>
    <w:uiPriority w:val="99"/>
    <w:pPr>
      <w:tabs>
        <w:tab w:val="center" w:pos="4680"/>
        <w:tab w:val="right" w:pos="9360"/>
      </w:tabs>
    </w:pPr>
  </w:style>
  <w:style w:type="paragraph" w:styleId="10">
    <w:name w:val="header"/>
    <w:basedOn w:val="1"/>
    <w:link w:val="17"/>
    <w:unhideWhenUsed/>
    <w:qFormat/>
    <w:uiPriority w:val="99"/>
    <w:pPr>
      <w:tabs>
        <w:tab w:val="center" w:pos="4680"/>
        <w:tab w:val="right" w:pos="9360"/>
      </w:tabs>
    </w:pPr>
  </w:style>
  <w:style w:type="table" w:styleId="11">
    <w:name w:val="Table Grid"/>
    <w:basedOn w:val="3"/>
    <w:qFormat/>
    <w:uiPriority w:val="3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Body Text Char"/>
    <w:basedOn w:val="2"/>
    <w:link w:val="5"/>
    <w:qFormat/>
    <w:uiPriority w:val="0"/>
    <w:rPr>
      <w:rFonts w:ascii=".VnTime" w:hAnsi=".VnTime" w:eastAsia="Times New Roman" w:cs="Times New Roman"/>
      <w:sz w:val="28"/>
      <w:szCs w:val="20"/>
    </w:rPr>
  </w:style>
  <w:style w:type="paragraph" w:styleId="13">
    <w:name w:val="List Paragraph"/>
    <w:basedOn w:val="1"/>
    <w:link w:val="19"/>
    <w:qFormat/>
    <w:uiPriority w:val="34"/>
    <w:pPr>
      <w:ind w:left="720"/>
      <w:contextualSpacing/>
      <w:jc w:val="both"/>
    </w:pPr>
    <w:rPr>
      <w:szCs w:val="20"/>
    </w:rPr>
  </w:style>
  <w:style w:type="character" w:customStyle="1" w:styleId="14">
    <w:name w:val="Comment Text Char"/>
    <w:basedOn w:val="2"/>
    <w:link w:val="7"/>
    <w:semiHidden/>
    <w:qFormat/>
    <w:uiPriority w:val="99"/>
    <w:rPr>
      <w:rFonts w:ascii="Times New Roman" w:hAnsi="Times New Roman" w:eastAsia="Times New Roman" w:cs="Times New Roman"/>
      <w:sz w:val="20"/>
      <w:szCs w:val="20"/>
    </w:rPr>
  </w:style>
  <w:style w:type="character" w:customStyle="1" w:styleId="15">
    <w:name w:val="Comment Subject Char"/>
    <w:basedOn w:val="14"/>
    <w:link w:val="8"/>
    <w:semiHidden/>
    <w:qFormat/>
    <w:uiPriority w:val="99"/>
    <w:rPr>
      <w:rFonts w:ascii="Times New Roman" w:hAnsi="Times New Roman" w:eastAsia="Times New Roman" w:cs="Times New Roman"/>
      <w:b/>
      <w:bCs/>
      <w:sz w:val="20"/>
      <w:szCs w:val="20"/>
    </w:rPr>
  </w:style>
  <w:style w:type="character" w:customStyle="1" w:styleId="16">
    <w:name w:val="Balloon Text Char"/>
    <w:basedOn w:val="2"/>
    <w:link w:val="4"/>
    <w:semiHidden/>
    <w:qFormat/>
    <w:uiPriority w:val="99"/>
    <w:rPr>
      <w:rFonts w:ascii="Tahoma" w:hAnsi="Tahoma" w:eastAsia="Times New Roman" w:cs="Tahoma"/>
      <w:sz w:val="16"/>
      <w:szCs w:val="16"/>
    </w:rPr>
  </w:style>
  <w:style w:type="character" w:customStyle="1" w:styleId="17">
    <w:name w:val="Header Char"/>
    <w:basedOn w:val="2"/>
    <w:link w:val="10"/>
    <w:qFormat/>
    <w:uiPriority w:val="99"/>
    <w:rPr>
      <w:rFonts w:ascii="Times New Roman" w:hAnsi="Times New Roman" w:eastAsia="Times New Roman" w:cs="Times New Roman"/>
      <w:sz w:val="24"/>
      <w:szCs w:val="24"/>
    </w:rPr>
  </w:style>
  <w:style w:type="character" w:customStyle="1" w:styleId="18">
    <w:name w:val="Footer Char"/>
    <w:basedOn w:val="2"/>
    <w:link w:val="9"/>
    <w:qFormat/>
    <w:uiPriority w:val="99"/>
    <w:rPr>
      <w:rFonts w:ascii="Times New Roman" w:hAnsi="Times New Roman" w:eastAsia="Times New Roman" w:cs="Times New Roman"/>
      <w:sz w:val="24"/>
      <w:szCs w:val="24"/>
    </w:rPr>
  </w:style>
  <w:style w:type="character" w:customStyle="1" w:styleId="19">
    <w:name w:val="List Paragraph Char"/>
    <w:link w:val="13"/>
    <w:qFormat/>
    <w:locked/>
    <w:uiPriority w:val="34"/>
    <w:rPr>
      <w:rFonts w:ascii="Times New Roman" w:hAnsi="Times New Roman" w:eastAsia="Times New Roman"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89033-CD0D-47A0-AC6A-FEA7EA8EA592}">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2</Pages>
  <Words>602</Words>
  <Characters>3434</Characters>
  <Lines>28</Lines>
  <Paragraphs>8</Paragraphs>
  <TotalTime>0</TotalTime>
  <ScaleCrop>false</ScaleCrop>
  <LinksUpToDate>false</LinksUpToDate>
  <CharactersWithSpaces>4028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2018-12-19T03:13:00Z</dcterms:created>
  <dc:creator>tu.la</dc:creator>
  <cp:lastModifiedBy>Ma Song</cp:lastModifiedBy>
  <cp:lastPrinted>2023-10-24T06:29:00Z</cp:lastPrinted>
  <dcterms:modified xsi:type="dcterms:W3CDTF">2025-09-22T01:08:07Z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7C39DF426EF04E8EA6D97FCFF21F436D_12</vt:lpwstr>
  </property>
</Properties>
</file>