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8928" w14:textId="77777777" w:rsidR="004C5798" w:rsidRPr="00180F17" w:rsidRDefault="004C5798" w:rsidP="004C5798">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BF68279" w14:textId="77777777" w:rsidR="004C5798" w:rsidRPr="00180F17" w:rsidRDefault="004C5798" w:rsidP="004C579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5AF8259C" w14:textId="77777777" w:rsidR="004C5798" w:rsidRDefault="004C5798" w:rsidP="004C5798">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4C5798" w:rsidRPr="00A81467" w14:paraId="6A6A7669" w14:textId="77777777" w:rsidTr="004B494C">
        <w:trPr>
          <w:cantSplit/>
          <w:trHeight w:val="20"/>
        </w:trPr>
        <w:tc>
          <w:tcPr>
            <w:tcW w:w="377" w:type="pct"/>
            <w:vMerge w:val="restart"/>
            <w:tcBorders>
              <w:top w:val="single" w:sz="4" w:space="0" w:color="auto"/>
              <w:left w:val="single" w:sz="4" w:space="0" w:color="auto"/>
              <w:right w:val="single" w:sz="4" w:space="0" w:color="auto"/>
            </w:tcBorders>
            <w:vAlign w:val="center"/>
          </w:tcPr>
          <w:p w14:paraId="7CC7C0B6" w14:textId="77777777" w:rsidR="004C5798" w:rsidRPr="00A81467" w:rsidRDefault="004C5798" w:rsidP="004B494C">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16390DAA" w14:textId="77777777" w:rsidR="004C5798" w:rsidRPr="00A81467" w:rsidRDefault="004C5798" w:rsidP="004B494C">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25CDFCDD" w14:textId="77777777" w:rsidR="004C5798" w:rsidRPr="00A81467" w:rsidRDefault="004C5798" w:rsidP="004B494C">
            <w:pPr>
              <w:jc w:val="center"/>
              <w:rPr>
                <w:b/>
                <w:color w:val="000000" w:themeColor="text1"/>
                <w:sz w:val="28"/>
                <w:szCs w:val="28"/>
              </w:rPr>
            </w:pPr>
            <w:r w:rsidRPr="00A81467">
              <w:rPr>
                <w:b/>
                <w:color w:val="000000" w:themeColor="text1"/>
                <w:sz w:val="28"/>
                <w:szCs w:val="28"/>
              </w:rPr>
              <w:t>Mức độ đáp ứng</w:t>
            </w:r>
          </w:p>
        </w:tc>
      </w:tr>
      <w:tr w:rsidR="004C5798" w:rsidRPr="00A81467" w14:paraId="47A5F2C0"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114D88F7" w14:textId="77777777" w:rsidR="004C5798" w:rsidRPr="00A81467" w:rsidRDefault="004C5798" w:rsidP="004B494C">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668C3801" w14:textId="77777777" w:rsidR="004C5798" w:rsidRPr="00A81467" w:rsidRDefault="004C5798" w:rsidP="004B494C">
            <w:pPr>
              <w:widowControl w:val="0"/>
              <w:jc w:val="left"/>
              <w:rPr>
                <w:rFonts w:eastAsia="Calibri"/>
                <w:color w:val="000000" w:themeColor="text1"/>
                <w:sz w:val="28"/>
                <w:szCs w:val="28"/>
              </w:rPr>
            </w:pPr>
          </w:p>
        </w:tc>
        <w:tc>
          <w:tcPr>
            <w:tcW w:w="1737" w:type="pct"/>
            <w:tcBorders>
              <w:left w:val="single" w:sz="4" w:space="0" w:color="auto"/>
            </w:tcBorders>
            <w:vAlign w:val="center"/>
          </w:tcPr>
          <w:p w14:paraId="2C4D7B1F"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3379184C"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4C5798" w:rsidRPr="00A81467" w14:paraId="6B093BD6"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45E931B" w14:textId="77777777" w:rsidR="004C5798" w:rsidRPr="00A81467" w:rsidRDefault="004C5798" w:rsidP="004B494C">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7B3E471A" w14:textId="77777777" w:rsidR="004C5798" w:rsidRPr="00A81467" w:rsidRDefault="004C5798" w:rsidP="004B494C">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1F3A978D" w14:textId="77777777" w:rsidR="004C5798" w:rsidRPr="00A81467" w:rsidRDefault="004C5798" w:rsidP="004B494C">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25D4AD4D" w14:textId="77777777" w:rsidR="004C5798" w:rsidRPr="00A81467" w:rsidRDefault="004C5798" w:rsidP="004B494C">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4C5798" w:rsidRPr="00A81467" w14:paraId="390CEBFD"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C496AEA"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07977BB0" w14:textId="77777777" w:rsidR="004C5798" w:rsidRPr="00A81467" w:rsidRDefault="004C5798" w:rsidP="004B494C">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5970B8E5" w14:textId="77777777" w:rsidR="004C5798" w:rsidRPr="00A81467" w:rsidRDefault="004C5798" w:rsidP="004B494C">
            <w:pPr>
              <w:tabs>
                <w:tab w:val="left" w:pos="5670"/>
              </w:tabs>
              <w:jc w:val="left"/>
              <w:rPr>
                <w:rFonts w:eastAsia="Calibri"/>
                <w:b/>
                <w:color w:val="000000" w:themeColor="text1"/>
                <w:sz w:val="28"/>
                <w:szCs w:val="28"/>
              </w:rPr>
            </w:pPr>
          </w:p>
        </w:tc>
        <w:tc>
          <w:tcPr>
            <w:tcW w:w="1505" w:type="pct"/>
            <w:vAlign w:val="center"/>
          </w:tcPr>
          <w:p w14:paraId="54721E9A" w14:textId="77777777" w:rsidR="004C5798" w:rsidRPr="00A81467" w:rsidRDefault="004C5798" w:rsidP="004B494C">
            <w:pPr>
              <w:tabs>
                <w:tab w:val="left" w:pos="5670"/>
              </w:tabs>
              <w:jc w:val="left"/>
              <w:rPr>
                <w:rFonts w:eastAsia="Calibri"/>
                <w:b/>
                <w:color w:val="000000" w:themeColor="text1"/>
                <w:sz w:val="28"/>
                <w:szCs w:val="28"/>
              </w:rPr>
            </w:pPr>
          </w:p>
        </w:tc>
      </w:tr>
      <w:tr w:rsidR="004C5798" w:rsidRPr="00A81467" w14:paraId="6E680CDD"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FC60DEB"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2C10D560" w14:textId="77777777" w:rsidR="004C5798" w:rsidRPr="00A81467" w:rsidRDefault="004C5798" w:rsidP="004B494C">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1CD69806"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6F92D0FA"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4C5798" w:rsidRPr="00A81467" w14:paraId="5DFC67D5"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8C278D7"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47A2A200" w14:textId="77777777" w:rsidR="004C5798" w:rsidRPr="00A81467" w:rsidRDefault="004C5798" w:rsidP="004B494C">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452DC84B"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0869CD7A"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4C5798" w:rsidRPr="00A81467" w14:paraId="095660F4"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7283E28"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lastRenderedPageBreak/>
              <w:t>1.3</w:t>
            </w:r>
          </w:p>
        </w:tc>
        <w:tc>
          <w:tcPr>
            <w:tcW w:w="1381" w:type="pct"/>
            <w:vAlign w:val="center"/>
          </w:tcPr>
          <w:p w14:paraId="1DE54DF7" w14:textId="77777777" w:rsidR="004C5798" w:rsidRPr="00A81467" w:rsidRDefault="004C5798" w:rsidP="004B494C">
            <w:pPr>
              <w:ind w:right="43"/>
              <w:rPr>
                <w:color w:val="000000" w:themeColor="text1"/>
                <w:sz w:val="28"/>
                <w:szCs w:val="28"/>
                <w:lang w:val="pt-BR"/>
              </w:rPr>
            </w:pPr>
            <w:r w:rsidRPr="00A81467">
              <w:rPr>
                <w:bCs/>
                <w:color w:val="000000" w:themeColor="text1"/>
                <w:sz w:val="28"/>
                <w:szCs w:val="28"/>
              </w:rPr>
              <w:t>Đối với trang thiết bị y tế nhà thầu cung cấp số lưu hành hoặc</w:t>
            </w:r>
            <w:r w:rsidRPr="00A81467">
              <w:rPr>
                <w:bCs/>
                <w:color w:val="000000" w:themeColor="text1"/>
                <w:sz w:val="28"/>
                <w:szCs w:val="28"/>
                <w:lang w:val="vi-VN"/>
              </w:rPr>
              <w:t xml:space="preserve"> Giấy phép nhập khẩu</w:t>
            </w:r>
            <w:r w:rsidRPr="00A81467">
              <w:rPr>
                <w:bCs/>
                <w:color w:val="000000" w:themeColor="text1"/>
                <w:sz w:val="28"/>
                <w:szCs w:val="28"/>
              </w:rPr>
              <w:t xml:space="preserve"> hoặc tương đương</w:t>
            </w:r>
          </w:p>
          <w:p w14:paraId="00ECB083" w14:textId="77777777" w:rsidR="004C5798" w:rsidRPr="00A81467" w:rsidRDefault="004C5798" w:rsidP="004B494C">
            <w:pPr>
              <w:tabs>
                <w:tab w:val="left" w:pos="5670"/>
              </w:tabs>
              <w:jc w:val="left"/>
              <w:rPr>
                <w:bCs/>
                <w:color w:val="000000" w:themeColor="text1"/>
                <w:sz w:val="28"/>
                <w:szCs w:val="28"/>
              </w:rPr>
            </w:pPr>
          </w:p>
        </w:tc>
        <w:tc>
          <w:tcPr>
            <w:tcW w:w="1737" w:type="pct"/>
            <w:vAlign w:val="center"/>
          </w:tcPr>
          <w:p w14:paraId="133C3269" w14:textId="77777777" w:rsidR="004C5798" w:rsidRPr="00A81467" w:rsidRDefault="004C5798" w:rsidP="004B494C">
            <w:pPr>
              <w:tabs>
                <w:tab w:val="left" w:pos="5670"/>
              </w:tabs>
              <w:jc w:val="center"/>
              <w:rPr>
                <w:color w:val="000000" w:themeColor="text1"/>
                <w:sz w:val="28"/>
                <w:szCs w:val="28"/>
              </w:rPr>
            </w:pPr>
            <w:r w:rsidRPr="00A81467">
              <w:rPr>
                <w:bCs/>
                <w:color w:val="000000" w:themeColor="text1"/>
                <w:sz w:val="28"/>
                <w:szCs w:val="28"/>
              </w:rPr>
              <w:t xml:space="preserve">Đối với trang thiết bị y tế nhà thầu cung cấp </w:t>
            </w:r>
            <w:r w:rsidRPr="00A81467">
              <w:rPr>
                <w:color w:val="000000" w:themeColor="text1"/>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và Nghị định số 04/2025/NĐ-CP của Chính phủ ngày 1/1/2025</w:t>
            </w:r>
          </w:p>
        </w:tc>
        <w:tc>
          <w:tcPr>
            <w:tcW w:w="1505" w:type="pct"/>
            <w:vAlign w:val="center"/>
          </w:tcPr>
          <w:p w14:paraId="0766AF0E"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lang w:val="vi-VN"/>
              </w:rPr>
              <w:t>Không có tài liệu chứng minh đáp ứng yêu cầu của E-HSMT</w:t>
            </w:r>
          </w:p>
        </w:tc>
      </w:tr>
      <w:tr w:rsidR="004C5798" w:rsidRPr="00A81467" w:rsidDel="007F2A5A" w14:paraId="78A0CE24"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1D21697" w14:textId="77777777" w:rsidR="004C5798" w:rsidRPr="00A81467" w:rsidDel="007F2A5A" w:rsidRDefault="004C5798" w:rsidP="004B494C">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03B98BEB" w14:textId="77777777" w:rsidR="004C5798" w:rsidRPr="00A81467" w:rsidDel="007F2A5A" w:rsidRDefault="004C5798" w:rsidP="004B494C">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00396521" w14:textId="77777777" w:rsidR="004C5798" w:rsidRPr="00A81467" w:rsidDel="007F2A5A" w:rsidRDefault="004C5798" w:rsidP="004B494C">
            <w:pPr>
              <w:tabs>
                <w:tab w:val="left" w:pos="5670"/>
              </w:tabs>
              <w:jc w:val="center"/>
              <w:rPr>
                <w:b/>
                <w:bCs/>
                <w:color w:val="000000" w:themeColor="text1"/>
                <w:sz w:val="28"/>
                <w:szCs w:val="28"/>
              </w:rPr>
            </w:pPr>
          </w:p>
        </w:tc>
        <w:tc>
          <w:tcPr>
            <w:tcW w:w="1505" w:type="pct"/>
            <w:vAlign w:val="center"/>
          </w:tcPr>
          <w:p w14:paraId="34E963A7" w14:textId="77777777" w:rsidR="004C5798" w:rsidRPr="00A81467" w:rsidDel="007F2A5A" w:rsidRDefault="004C5798" w:rsidP="004B494C">
            <w:pPr>
              <w:tabs>
                <w:tab w:val="left" w:pos="5670"/>
              </w:tabs>
              <w:jc w:val="center"/>
              <w:rPr>
                <w:b/>
                <w:bCs/>
                <w:color w:val="000000" w:themeColor="text1"/>
                <w:sz w:val="28"/>
                <w:szCs w:val="28"/>
                <w:lang w:val="vi-VN"/>
              </w:rPr>
            </w:pPr>
          </w:p>
        </w:tc>
      </w:tr>
      <w:tr w:rsidR="004C5798" w:rsidRPr="00A81467" w:rsidDel="007F2A5A" w14:paraId="46E21C1A"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C112673"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48FCEEDB" w14:textId="77777777" w:rsidR="004C5798" w:rsidRPr="00A81467" w:rsidRDefault="004C5798" w:rsidP="004B494C">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2A6422AC" w14:textId="77777777" w:rsidR="004C5798" w:rsidRPr="00A81467" w:rsidRDefault="004C5798" w:rsidP="004B494C">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5E92F587"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4C5798" w:rsidRPr="00A81467" w:rsidDel="007F2A5A" w14:paraId="3F7FE077"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B5CE609"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65F1EA3E" w14:textId="77777777" w:rsidR="004C5798" w:rsidRPr="00A81467" w:rsidRDefault="004C5798" w:rsidP="004B494C">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0CB439D9" w14:textId="77777777" w:rsidR="004C5798" w:rsidRPr="00A81467" w:rsidDel="007F2A5A" w:rsidRDefault="004C5798" w:rsidP="004B494C">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791BEDD4" w14:textId="77777777" w:rsidR="004C5798" w:rsidRPr="00A81467" w:rsidDel="007F2A5A" w:rsidRDefault="004C5798" w:rsidP="004B494C">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4C5798" w:rsidRPr="00A81467" w14:paraId="529A7D69"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7D31836"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6854A76E" w14:textId="77777777" w:rsidR="004C5798" w:rsidRPr="00A81467" w:rsidRDefault="004C5798" w:rsidP="004B494C">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12A822AC" w14:textId="77777777" w:rsidR="004C5798" w:rsidRPr="00A81467" w:rsidRDefault="004C5798" w:rsidP="004B494C">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5746CFB0"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4C5798" w:rsidRPr="00A81467" w14:paraId="7D24D289"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BCA0342" w14:textId="77777777" w:rsidR="004C5798" w:rsidRPr="00A81467" w:rsidRDefault="004C5798" w:rsidP="004B494C">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5FEBB3D8" w14:textId="77777777" w:rsidR="004C5798" w:rsidRPr="00A81467" w:rsidRDefault="004C5798" w:rsidP="004B494C">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705F6080" w14:textId="77777777" w:rsidR="004C5798" w:rsidRPr="00A81467" w:rsidRDefault="004C5798" w:rsidP="004B494C">
            <w:pPr>
              <w:tabs>
                <w:tab w:val="left" w:pos="5670"/>
              </w:tabs>
              <w:jc w:val="center"/>
              <w:rPr>
                <w:rFonts w:eastAsia="Calibri"/>
                <w:color w:val="000000" w:themeColor="text1"/>
                <w:sz w:val="28"/>
                <w:szCs w:val="28"/>
              </w:rPr>
            </w:pPr>
          </w:p>
        </w:tc>
        <w:tc>
          <w:tcPr>
            <w:tcW w:w="1505" w:type="pct"/>
            <w:vAlign w:val="center"/>
          </w:tcPr>
          <w:p w14:paraId="1605F215" w14:textId="77777777" w:rsidR="004C5798" w:rsidRPr="00A81467" w:rsidRDefault="004C5798" w:rsidP="004B494C">
            <w:pPr>
              <w:tabs>
                <w:tab w:val="left" w:pos="5670"/>
              </w:tabs>
              <w:jc w:val="center"/>
              <w:rPr>
                <w:rFonts w:eastAsia="Calibri"/>
                <w:color w:val="000000" w:themeColor="text1"/>
                <w:sz w:val="28"/>
                <w:szCs w:val="28"/>
              </w:rPr>
            </w:pPr>
          </w:p>
        </w:tc>
      </w:tr>
      <w:tr w:rsidR="004C5798" w:rsidRPr="00A81467" w14:paraId="71503FBA"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8ADD9D8" w14:textId="77777777" w:rsidR="004C5798" w:rsidRPr="00A81467" w:rsidRDefault="004C5798" w:rsidP="004B494C">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3.1</w:t>
            </w:r>
          </w:p>
        </w:tc>
        <w:tc>
          <w:tcPr>
            <w:tcW w:w="1381" w:type="pct"/>
            <w:vAlign w:val="center"/>
          </w:tcPr>
          <w:p w14:paraId="108AE18E" w14:textId="77777777" w:rsidR="004C5798" w:rsidRPr="00A81467" w:rsidRDefault="004C5798" w:rsidP="004B494C">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3AFBACE6"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6424C2C1"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4C5798" w:rsidRPr="00A81467" w14:paraId="498FE161"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EA9A5B4" w14:textId="77777777" w:rsidR="004C5798" w:rsidRPr="00A81467" w:rsidRDefault="004C5798" w:rsidP="004B494C">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3D46A9DB" w14:textId="77777777" w:rsidR="004C5798" w:rsidRPr="00A81467" w:rsidRDefault="004C5798" w:rsidP="004B494C">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5AEF0AA0"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1F7794B0"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4C5798" w:rsidRPr="00A81467" w14:paraId="0AE4FCB3"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FC61DFB" w14:textId="77777777" w:rsidR="004C5798" w:rsidRPr="00A81467" w:rsidRDefault="004C5798" w:rsidP="004B494C">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5E78F48F" w14:textId="77777777" w:rsidR="004C5798" w:rsidRPr="00A81467" w:rsidRDefault="004C5798" w:rsidP="004B494C">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614AEBA3" w14:textId="77777777" w:rsidR="004C5798" w:rsidRPr="00A81467" w:rsidRDefault="004C5798" w:rsidP="004B494C">
            <w:pPr>
              <w:tabs>
                <w:tab w:val="left" w:pos="5670"/>
              </w:tabs>
              <w:jc w:val="center"/>
              <w:rPr>
                <w:rFonts w:eastAsia=".VnTime"/>
                <w:color w:val="000000" w:themeColor="text1"/>
                <w:sz w:val="28"/>
                <w:szCs w:val="28"/>
              </w:rPr>
            </w:pPr>
          </w:p>
        </w:tc>
        <w:tc>
          <w:tcPr>
            <w:tcW w:w="1505" w:type="pct"/>
            <w:vAlign w:val="center"/>
          </w:tcPr>
          <w:p w14:paraId="123EB651" w14:textId="77777777" w:rsidR="004C5798" w:rsidRPr="00A81467" w:rsidRDefault="004C5798" w:rsidP="004B494C">
            <w:pPr>
              <w:tabs>
                <w:tab w:val="left" w:pos="5670"/>
              </w:tabs>
              <w:jc w:val="center"/>
              <w:rPr>
                <w:rFonts w:eastAsia=".VnTime"/>
                <w:color w:val="000000" w:themeColor="text1"/>
                <w:sz w:val="28"/>
                <w:szCs w:val="28"/>
                <w:lang w:val="nl-NL"/>
              </w:rPr>
            </w:pPr>
          </w:p>
        </w:tc>
      </w:tr>
      <w:tr w:rsidR="004C5798" w:rsidRPr="00A81467" w14:paraId="1CB98135"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DBF0625" w14:textId="77777777" w:rsidR="004C5798" w:rsidRPr="00A81467" w:rsidRDefault="004C5798" w:rsidP="004B494C">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745B65DF" w14:textId="77777777" w:rsidR="004C5798" w:rsidRPr="00A81467" w:rsidRDefault="004C5798" w:rsidP="004B494C">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71601132" w14:textId="77777777" w:rsidR="004C5798" w:rsidRPr="00A81467" w:rsidRDefault="004C5798" w:rsidP="004B494C">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0D80AEAB" w14:textId="77777777" w:rsidR="004C5798" w:rsidRPr="00A81467" w:rsidRDefault="004C5798" w:rsidP="004B494C">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4C5798" w:rsidRPr="00A81467" w14:paraId="686D6E33"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39E92BE" w14:textId="77777777" w:rsidR="004C5798" w:rsidRPr="00A81467" w:rsidRDefault="004C5798" w:rsidP="004B494C">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45703740" w14:textId="77777777" w:rsidR="004C5798" w:rsidRPr="00A81467" w:rsidRDefault="004C5798" w:rsidP="004B494C">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7D045CE0" w14:textId="77777777" w:rsidR="004C5798" w:rsidRPr="00A81467" w:rsidRDefault="004C5798" w:rsidP="004B494C">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2B6BFA48" w14:textId="77777777" w:rsidR="004C5798" w:rsidRPr="00A81467" w:rsidRDefault="004C5798" w:rsidP="004B494C">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4C5798" w:rsidRPr="00A81467" w14:paraId="762047CE"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92996C2" w14:textId="77777777" w:rsidR="004C5798" w:rsidRPr="00A81467" w:rsidRDefault="004C5798" w:rsidP="004B494C">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5B897075" w14:textId="77777777" w:rsidR="004C5798" w:rsidRPr="00A81467" w:rsidRDefault="004C5798" w:rsidP="004B494C">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42AC2C7E" w14:textId="77777777" w:rsidR="004C5798" w:rsidRPr="00A81467" w:rsidRDefault="004C5798" w:rsidP="004B494C">
            <w:pPr>
              <w:tabs>
                <w:tab w:val="left" w:pos="5670"/>
              </w:tabs>
              <w:jc w:val="center"/>
              <w:rPr>
                <w:rFonts w:eastAsia=".VnTime"/>
                <w:color w:val="000000" w:themeColor="text1"/>
                <w:sz w:val="28"/>
                <w:szCs w:val="28"/>
              </w:rPr>
            </w:pPr>
          </w:p>
        </w:tc>
        <w:tc>
          <w:tcPr>
            <w:tcW w:w="1505" w:type="pct"/>
            <w:vAlign w:val="center"/>
          </w:tcPr>
          <w:p w14:paraId="6233BE81" w14:textId="77777777" w:rsidR="004C5798" w:rsidRPr="00A81467" w:rsidRDefault="004C5798" w:rsidP="004B494C">
            <w:pPr>
              <w:tabs>
                <w:tab w:val="left" w:pos="5670"/>
              </w:tabs>
              <w:jc w:val="center"/>
              <w:rPr>
                <w:rFonts w:eastAsia=".VnTime"/>
                <w:color w:val="000000" w:themeColor="text1"/>
                <w:sz w:val="28"/>
                <w:szCs w:val="28"/>
                <w:lang w:val="nl-NL"/>
              </w:rPr>
            </w:pPr>
          </w:p>
        </w:tc>
      </w:tr>
      <w:tr w:rsidR="004C5798" w:rsidRPr="00A81467" w14:paraId="0761E512"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F6FAE15" w14:textId="77777777" w:rsidR="004C5798" w:rsidRPr="00A81467" w:rsidRDefault="004C5798" w:rsidP="004B494C">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0A764C66" w14:textId="77777777" w:rsidR="004C5798" w:rsidRPr="00A81467" w:rsidRDefault="004C5798" w:rsidP="004B494C">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775DA6B0" w14:textId="77777777" w:rsidR="004C5798" w:rsidRPr="00A81467" w:rsidRDefault="004C5798" w:rsidP="004B494C">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5ED0B2A2" w14:textId="77777777" w:rsidR="004C5798" w:rsidRPr="00A81467" w:rsidRDefault="004C5798" w:rsidP="004B494C">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4C5798" w:rsidRPr="00A81467" w14:paraId="45A895EF"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19D8C73" w14:textId="77777777" w:rsidR="004C5798" w:rsidRPr="00A81467" w:rsidRDefault="004C5798" w:rsidP="004B494C">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2421F85D" w14:textId="77777777" w:rsidR="004C5798" w:rsidRPr="00A81467" w:rsidRDefault="004C5798" w:rsidP="004B494C">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4641C06E" w14:textId="77777777" w:rsidR="004C5798" w:rsidRPr="00A81467" w:rsidRDefault="004C5798" w:rsidP="004B494C">
            <w:pPr>
              <w:tabs>
                <w:tab w:val="left" w:pos="5670"/>
              </w:tabs>
              <w:jc w:val="center"/>
              <w:rPr>
                <w:rFonts w:eastAsia="Calibri"/>
                <w:color w:val="000000" w:themeColor="text1"/>
                <w:sz w:val="28"/>
                <w:szCs w:val="28"/>
              </w:rPr>
            </w:pPr>
          </w:p>
        </w:tc>
        <w:tc>
          <w:tcPr>
            <w:tcW w:w="1505" w:type="pct"/>
            <w:vAlign w:val="center"/>
          </w:tcPr>
          <w:p w14:paraId="63802216" w14:textId="77777777" w:rsidR="004C5798" w:rsidRPr="00A81467" w:rsidRDefault="004C5798" w:rsidP="004B494C">
            <w:pPr>
              <w:tabs>
                <w:tab w:val="left" w:pos="5670"/>
              </w:tabs>
              <w:jc w:val="center"/>
              <w:rPr>
                <w:rFonts w:eastAsia="Calibri"/>
                <w:color w:val="000000" w:themeColor="text1"/>
                <w:sz w:val="28"/>
                <w:szCs w:val="28"/>
              </w:rPr>
            </w:pPr>
          </w:p>
        </w:tc>
      </w:tr>
      <w:tr w:rsidR="004C5798" w:rsidRPr="00A81467" w14:paraId="7DD7D2BE"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F8CD9E6" w14:textId="77777777" w:rsidR="004C5798" w:rsidRPr="00A81467" w:rsidRDefault="004C5798" w:rsidP="004B494C">
            <w:pPr>
              <w:tabs>
                <w:tab w:val="left" w:pos="5670"/>
              </w:tabs>
              <w:jc w:val="center"/>
              <w:rPr>
                <w:color w:val="000000" w:themeColor="text1"/>
                <w:sz w:val="28"/>
                <w:szCs w:val="28"/>
              </w:rPr>
            </w:pPr>
            <w:r w:rsidRPr="00A81467">
              <w:rPr>
                <w:color w:val="000000" w:themeColor="text1"/>
                <w:sz w:val="28"/>
                <w:szCs w:val="28"/>
              </w:rPr>
              <w:lastRenderedPageBreak/>
              <w:t>6.1</w:t>
            </w:r>
          </w:p>
        </w:tc>
        <w:tc>
          <w:tcPr>
            <w:tcW w:w="1381" w:type="pct"/>
            <w:vAlign w:val="center"/>
          </w:tcPr>
          <w:p w14:paraId="099031DD" w14:textId="77777777" w:rsidR="004C5798" w:rsidRPr="00A81467" w:rsidRDefault="004C5798" w:rsidP="004B494C">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7BD58E93" w14:textId="77777777" w:rsidR="004C5798" w:rsidRPr="00A81467" w:rsidRDefault="004C5798" w:rsidP="004B494C">
            <w:pPr>
              <w:tabs>
                <w:tab w:val="left" w:pos="5670"/>
              </w:tabs>
              <w:jc w:val="center"/>
              <w:rPr>
                <w:rFonts w:eastAsia=".VnTime"/>
                <w:color w:val="000000" w:themeColor="text1"/>
                <w:sz w:val="28"/>
                <w:szCs w:val="28"/>
              </w:rPr>
            </w:pPr>
            <w:r>
              <w:rPr>
                <w:rFonts w:eastAsia=".VnTime"/>
                <w:color w:val="000000" w:themeColor="text1"/>
                <w:sz w:val="28"/>
                <w:szCs w:val="28"/>
              </w:rPr>
              <w:t>6</w:t>
            </w:r>
            <w:r w:rsidRPr="00A81467">
              <w:rPr>
                <w:rFonts w:eastAsia=".VnTime"/>
                <w:color w:val="000000" w:themeColor="text1"/>
                <w:sz w:val="28"/>
                <w:szCs w:val="28"/>
              </w:rPr>
              <w:t>0 ngày</w:t>
            </w:r>
            <w:r>
              <w:rPr>
                <w:rFonts w:eastAsia=".VnTime"/>
                <w:color w:val="000000" w:themeColor="text1"/>
                <w:sz w:val="28"/>
                <w:szCs w:val="28"/>
              </w:rPr>
              <w:t xml:space="preserve"> kể từ ngày hợp đồng có hiệu lực</w:t>
            </w:r>
          </w:p>
        </w:tc>
        <w:tc>
          <w:tcPr>
            <w:tcW w:w="1505" w:type="pct"/>
            <w:vAlign w:val="center"/>
          </w:tcPr>
          <w:p w14:paraId="4ACB8C72" w14:textId="77777777" w:rsidR="004C5798" w:rsidRPr="00A81467" w:rsidRDefault="004C5798" w:rsidP="004B494C">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4C5798" w:rsidRPr="00A81467" w14:paraId="4D255EF9"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BBCC15A"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73527D1F" w14:textId="77777777" w:rsidR="004C5798" w:rsidRPr="00A81467" w:rsidRDefault="004C5798" w:rsidP="004B494C">
            <w:pPr>
              <w:tabs>
                <w:tab w:val="left" w:pos="5670"/>
              </w:tabs>
              <w:rPr>
                <w:rFonts w:eastAsia="Calibri"/>
                <w:b/>
                <w:color w:val="000000" w:themeColor="text1"/>
                <w:sz w:val="28"/>
                <w:szCs w:val="28"/>
                <w:u w:val="single"/>
              </w:rPr>
            </w:pPr>
            <w:r w:rsidRPr="00AD19B1">
              <w:rPr>
                <w:rFonts w:eastAsia="Calibri"/>
                <w:b/>
                <w:color w:val="000000" w:themeColor="text1"/>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1737" w:type="pct"/>
            <w:vAlign w:val="center"/>
          </w:tcPr>
          <w:p w14:paraId="3E970FE3" w14:textId="77777777" w:rsidR="004C5798" w:rsidRPr="000C2D0E" w:rsidRDefault="004C5798" w:rsidP="004B494C">
            <w:pPr>
              <w:tabs>
                <w:tab w:val="left" w:pos="5670"/>
              </w:tabs>
              <w:rPr>
                <w:rFonts w:eastAsia="Calibri"/>
                <w:b/>
                <w:color w:val="000000" w:themeColor="text1"/>
                <w:sz w:val="28"/>
                <w:szCs w:val="28"/>
              </w:rPr>
            </w:pPr>
            <w:r w:rsidRPr="000C2D0E">
              <w:rPr>
                <w:rFonts w:eastAsia="Calibri"/>
                <w:sz w:val="28"/>
                <w:szCs w:val="28"/>
              </w:rPr>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44495A98" w14:textId="77777777" w:rsidR="004C5798" w:rsidRPr="000C2D0E" w:rsidRDefault="004C5798" w:rsidP="004B494C">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4C5798" w:rsidRPr="00A81467" w14:paraId="6C9E6C03"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2DB9438F" w14:textId="77777777" w:rsidR="004C5798" w:rsidRPr="00A81467" w:rsidRDefault="004C5798" w:rsidP="004B494C">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37619B44" w14:textId="77777777" w:rsidR="004C5798" w:rsidRPr="00A81467" w:rsidRDefault="004C5798" w:rsidP="004B494C">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368E6322" w14:textId="77777777" w:rsidR="004C5798" w:rsidRPr="00A81467" w:rsidRDefault="004C5798" w:rsidP="004B494C">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0F7DEA9E" w14:textId="77777777" w:rsidR="004C5798" w:rsidRPr="00A81467" w:rsidRDefault="004C5798" w:rsidP="004B494C">
            <w:pPr>
              <w:tabs>
                <w:tab w:val="left" w:pos="5670"/>
              </w:tabs>
              <w:jc w:val="left"/>
              <w:rPr>
                <w:rFonts w:eastAsia="Calibri"/>
                <w:color w:val="000000" w:themeColor="text1"/>
                <w:sz w:val="28"/>
                <w:szCs w:val="28"/>
              </w:rPr>
            </w:pPr>
          </w:p>
        </w:tc>
      </w:tr>
      <w:tr w:rsidR="004C5798" w:rsidRPr="00A81467" w14:paraId="5195E0F7"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14A2AD46" w14:textId="77777777" w:rsidR="004C5798" w:rsidRPr="00A81467" w:rsidRDefault="004C5798" w:rsidP="004B494C">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3FDE0569" w14:textId="77777777" w:rsidR="004C5798" w:rsidRPr="00A81467" w:rsidRDefault="004C5798" w:rsidP="004B494C">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438262B6"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7C11CA96"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4C5798" w:rsidRPr="00A81467" w14:paraId="2179B765"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7DE442F6" w14:textId="77777777" w:rsidR="004C5798" w:rsidRPr="00A81467" w:rsidRDefault="004C5798" w:rsidP="004B494C">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38E9D266" w14:textId="77777777" w:rsidR="004C5798" w:rsidRPr="00A81467" w:rsidRDefault="004C5798" w:rsidP="004B494C">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7D3976C8"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208ECDCB" w14:textId="77777777" w:rsidR="004C5798" w:rsidRPr="00A81467" w:rsidRDefault="004C5798" w:rsidP="004B494C">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4C5798" w:rsidRPr="00A81467" w14:paraId="4422AAFC" w14:textId="77777777" w:rsidTr="004B4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557D5E94" w14:textId="77777777" w:rsidR="004C5798" w:rsidRPr="00A81467" w:rsidRDefault="004C5798" w:rsidP="004B494C">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45A23925"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7B771110"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21D67DBD"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3CA276EE" w14:textId="77777777" w:rsidR="004C5798" w:rsidRPr="00A81467" w:rsidRDefault="004C5798" w:rsidP="004B494C">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3FB955F0" w14:textId="77777777" w:rsidR="004C5798" w:rsidRPr="00A81467" w:rsidRDefault="004C5798" w:rsidP="004B494C">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01065460" w14:textId="77777777" w:rsidR="004C5798" w:rsidRPr="001A478B" w:rsidRDefault="004C5798" w:rsidP="004C5798">
      <w:pPr>
        <w:spacing w:before="120" w:after="120" w:line="320" w:lineRule="exact"/>
        <w:ind w:firstLine="709"/>
        <w:rPr>
          <w:color w:val="000000" w:themeColor="text1"/>
          <w:sz w:val="28"/>
          <w:szCs w:val="28"/>
        </w:rPr>
      </w:pPr>
      <w:bookmarkStart w:id="2" w:name="_Hlk201852728"/>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6ADF9DA5"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1FAFBAAE"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lastRenderedPageBreak/>
        <w:t>(*) Nhà thầu cung cấp số lưu hành hoặc giấy phép nhập khẩu hoặc tài liệu khác có giá trị tương đương:</w:t>
      </w:r>
    </w:p>
    <w:p w14:paraId="33996E44"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2028045E"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3A3C3F93"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345FB16F" w14:textId="77777777" w:rsidR="004C5798" w:rsidRPr="00383074"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6924CA61" w14:textId="27FBDCCB" w:rsidR="00234F70" w:rsidRPr="004C5798" w:rsidRDefault="004C5798" w:rsidP="004C5798">
      <w:pPr>
        <w:spacing w:before="120" w:after="120" w:line="320" w:lineRule="exact"/>
        <w:ind w:firstLine="709"/>
        <w:rPr>
          <w:color w:val="000000" w:themeColor="text1"/>
          <w:sz w:val="28"/>
          <w:szCs w:val="28"/>
        </w:rPr>
      </w:pPr>
      <w:r w:rsidRPr="00383074">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bookmarkEnd w:id="0"/>
      <w:bookmarkEnd w:id="2"/>
    </w:p>
    <w:sectPr w:rsidR="00234F70" w:rsidRPr="004C5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70"/>
    <w:rsid w:val="00163C6B"/>
    <w:rsid w:val="00234F70"/>
    <w:rsid w:val="004C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2B88"/>
  <w15:chartTrackingRefBased/>
  <w15:docId w15:val="{F272AAA5-DD46-4676-AFAB-FBC20211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9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34F7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4F7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4F7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4F7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34F7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34F7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34F7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34F7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34F7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F70"/>
    <w:rPr>
      <w:rFonts w:eastAsiaTheme="majorEastAsia" w:cstheme="majorBidi"/>
      <w:color w:val="272727" w:themeColor="text1" w:themeTint="D8"/>
    </w:rPr>
  </w:style>
  <w:style w:type="paragraph" w:styleId="Title">
    <w:name w:val="Title"/>
    <w:basedOn w:val="Normal"/>
    <w:next w:val="Normal"/>
    <w:link w:val="TitleChar"/>
    <w:uiPriority w:val="10"/>
    <w:qFormat/>
    <w:rsid w:val="00234F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4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F7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4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F7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34F70"/>
    <w:rPr>
      <w:i/>
      <w:iCs/>
      <w:color w:val="404040" w:themeColor="text1" w:themeTint="BF"/>
    </w:rPr>
  </w:style>
  <w:style w:type="paragraph" w:styleId="ListParagraph">
    <w:name w:val="List Paragraph"/>
    <w:basedOn w:val="Normal"/>
    <w:uiPriority w:val="34"/>
    <w:qFormat/>
    <w:rsid w:val="00234F7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34F70"/>
    <w:rPr>
      <w:i/>
      <w:iCs/>
      <w:color w:val="2F5496" w:themeColor="accent1" w:themeShade="BF"/>
    </w:rPr>
  </w:style>
  <w:style w:type="paragraph" w:styleId="IntenseQuote">
    <w:name w:val="Intense Quote"/>
    <w:basedOn w:val="Normal"/>
    <w:next w:val="Normal"/>
    <w:link w:val="IntenseQuoteChar"/>
    <w:uiPriority w:val="30"/>
    <w:qFormat/>
    <w:rsid w:val="00234F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34F70"/>
    <w:rPr>
      <w:i/>
      <w:iCs/>
      <w:color w:val="2F5496" w:themeColor="accent1" w:themeShade="BF"/>
    </w:rPr>
  </w:style>
  <w:style w:type="character" w:styleId="IntenseReference">
    <w:name w:val="Intense Reference"/>
    <w:basedOn w:val="DefaultParagraphFont"/>
    <w:uiPriority w:val="32"/>
    <w:qFormat/>
    <w:rsid w:val="00234F70"/>
    <w:rPr>
      <w:b/>
      <w:bCs/>
      <w:smallCaps/>
      <w:color w:val="2F5496" w:themeColor="accent1" w:themeShade="BF"/>
      <w:spacing w:val="5"/>
    </w:rPr>
  </w:style>
  <w:style w:type="paragraph" w:styleId="TOC1">
    <w:name w:val="toc 1"/>
    <w:basedOn w:val="Normal"/>
    <w:next w:val="Normal"/>
    <w:autoRedefine/>
    <w:uiPriority w:val="39"/>
    <w:qFormat/>
    <w:rsid w:val="004C579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2025-09-24T03:58:00Z</dcterms:created>
  <dcterms:modified xsi:type="dcterms:W3CDTF">2025-09-24T03:58:00Z</dcterms:modified>
</cp:coreProperties>
</file>