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42157E4" w:rsidR="00847464" w:rsidRPr="00DC7A39" w:rsidRDefault="00847464" w:rsidP="004E2616">
      <w:pPr>
        <w:spacing w:before="40" w:after="40"/>
        <w:ind w:firstLine="567"/>
        <w:jc w:val="center"/>
        <w:rPr>
          <w:b/>
          <w:sz w:val="28"/>
          <w:szCs w:val="28"/>
          <w:lang w:val="es-ES"/>
        </w:rPr>
      </w:pPr>
      <w:r w:rsidRPr="00DC7A39">
        <w:rPr>
          <w:b/>
          <w:sz w:val="28"/>
          <w:szCs w:val="28"/>
          <w:lang w:val="es-ES"/>
        </w:rPr>
        <w:t>Chương III. TIÊU CHUẨN ĐÁNH GIÁ E-HSDT</w:t>
      </w:r>
    </w:p>
    <w:p w14:paraId="476FDC6E" w14:textId="77777777" w:rsidR="00847464" w:rsidRPr="00DC7A39" w:rsidRDefault="00847464" w:rsidP="004E2616">
      <w:pPr>
        <w:spacing w:before="60" w:after="60"/>
        <w:ind w:firstLine="567"/>
        <w:rPr>
          <w:b/>
          <w:bCs/>
          <w:noProof/>
          <w:sz w:val="28"/>
          <w:szCs w:val="28"/>
          <w:lang w:val="es-ES"/>
        </w:rPr>
      </w:pPr>
    </w:p>
    <w:p w14:paraId="6EC296E2" w14:textId="77777777" w:rsidR="00CE26E2" w:rsidRPr="00E453FA" w:rsidRDefault="00CE26E2" w:rsidP="00CE26E2">
      <w:pPr>
        <w:pStyle w:val="TOC1"/>
      </w:pPr>
      <w:r w:rsidRPr="00E453FA">
        <w:t xml:space="preserve">Mục </w:t>
      </w:r>
      <w:r w:rsidRPr="00E453FA">
        <w:rPr>
          <w:lang w:val="pl-PL"/>
        </w:rPr>
        <w:t>3</w:t>
      </w:r>
      <w:r w:rsidRPr="00E453FA">
        <w:t>. Tiêu chuẩn đánh giá về kỹ thuật</w:t>
      </w:r>
    </w:p>
    <w:p w14:paraId="3A2358A2" w14:textId="77777777" w:rsidR="00CE26E2" w:rsidRPr="00E453FA" w:rsidRDefault="00CE26E2" w:rsidP="00CE26E2">
      <w:pPr>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Sử dụng tiêu chí đạt/không đạt hoặc phương pháp chấm điểm để xây dựng tiêu chuẩn đánh giá về kỹ thuật.</w:t>
      </w:r>
    </w:p>
    <w:p w14:paraId="790C147E" w14:textId="3298AC17" w:rsidR="00CE26E2" w:rsidRPr="00E453FA" w:rsidRDefault="00CE26E2" w:rsidP="00CE26E2">
      <w:pPr>
        <w:spacing w:before="80" w:after="80" w:line="264" w:lineRule="auto"/>
        <w:ind w:firstLine="709"/>
        <w:rPr>
          <w:rFonts w:asciiTheme="majorHAnsi" w:eastAsia="Calibri" w:hAnsiTheme="majorHAnsi" w:cstheme="majorHAnsi"/>
          <w:spacing w:val="2"/>
          <w:sz w:val="28"/>
          <w:szCs w:val="28"/>
          <w:lang w:val="vi-VN"/>
        </w:rPr>
      </w:pPr>
      <w:r w:rsidRPr="00E453FA">
        <w:rPr>
          <w:rFonts w:asciiTheme="majorHAnsi" w:eastAsia="Calibri" w:hAnsiTheme="majorHAnsi" w:cstheme="majorHAnsi"/>
          <w:spacing w:val="2"/>
          <w:sz w:val="28"/>
          <w:szCs w:val="28"/>
          <w:lang w:val="vi-VN"/>
        </w:rPr>
        <w:t xml:space="preserve">Việc xây dựng </w:t>
      </w:r>
      <w:r w:rsidRPr="00E453FA">
        <w:rPr>
          <w:rFonts w:asciiTheme="majorHAnsi" w:eastAsia="Calibri" w:hAnsiTheme="majorHAnsi" w:cstheme="majorHAnsi"/>
          <w:sz w:val="28"/>
          <w:szCs w:val="28"/>
          <w:lang w:val="vi-VN"/>
        </w:rPr>
        <w:t>tiêu chuẩn đánh giá về kỹ thuật</w:t>
      </w:r>
      <w:r w:rsidRPr="00E453FA">
        <w:rPr>
          <w:rFonts w:asciiTheme="majorHAnsi" w:eastAsia="Calibri" w:hAnsiTheme="majorHAnsi" w:cstheme="majorHAns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w:t>
      </w:r>
      <w:r w:rsidR="008C0BCC" w:rsidRPr="008C0BCC">
        <w:rPr>
          <w:rFonts w:asciiTheme="majorHAnsi" w:eastAsia="Calibri" w:hAnsiTheme="majorHAnsi" w:cstheme="majorHAnsi"/>
          <w:spacing w:val="2"/>
          <w:sz w:val="28"/>
          <w:szCs w:val="28"/>
          <w:lang w:val="vi-VN"/>
        </w:rPr>
        <w:t>9</w:t>
      </w:r>
      <w:r w:rsidRPr="00E453FA">
        <w:rPr>
          <w:rFonts w:asciiTheme="majorHAnsi" w:eastAsia="Calibri" w:hAnsiTheme="majorHAnsi" w:cstheme="majorHAnsi"/>
          <w:spacing w:val="2"/>
          <w:sz w:val="28"/>
          <w:szCs w:val="28"/>
          <w:lang w:val="vi-VN"/>
        </w:rPr>
        <w:t xml:space="preserve"> và Điều </w:t>
      </w:r>
      <w:r w:rsidR="008C0BCC" w:rsidRPr="00CE6E52">
        <w:rPr>
          <w:rFonts w:asciiTheme="majorHAnsi" w:eastAsia="Calibri" w:hAnsiTheme="majorHAnsi" w:cstheme="majorHAnsi"/>
          <w:spacing w:val="2"/>
          <w:sz w:val="28"/>
          <w:szCs w:val="28"/>
          <w:lang w:val="vi-VN"/>
        </w:rPr>
        <w:t>20</w:t>
      </w:r>
      <w:r w:rsidRPr="00E453FA">
        <w:rPr>
          <w:rFonts w:asciiTheme="majorHAnsi" w:eastAsia="Calibri" w:hAnsiTheme="majorHAnsi" w:cstheme="majorHAnsi"/>
          <w:spacing w:val="2"/>
          <w:sz w:val="28"/>
          <w:szCs w:val="28"/>
          <w:lang w:val="vi-VN"/>
        </w:rPr>
        <w:t xml:space="preserve"> của </w:t>
      </w:r>
      <w:r w:rsidR="008C0BCC" w:rsidRPr="008C0BCC">
        <w:rPr>
          <w:rFonts w:asciiTheme="majorHAnsi" w:hAnsiTheme="majorHAnsi" w:cstheme="majorHAnsi"/>
          <w:sz w:val="28"/>
          <w:szCs w:val="28"/>
          <w:lang w:val="vi-VN"/>
        </w:rPr>
        <w:t>Nghị định số 214/2025/NĐ-CP</w:t>
      </w:r>
      <w:r w:rsidRPr="00E453FA">
        <w:rPr>
          <w:rFonts w:asciiTheme="majorHAnsi" w:eastAsia="Calibri" w:hAnsiTheme="majorHAnsi" w:cstheme="majorHAnsi"/>
          <w:spacing w:val="2"/>
          <w:sz w:val="28"/>
          <w:szCs w:val="28"/>
          <w:lang w:val="vi-VN"/>
        </w:rPr>
        <w:t xml:space="preserve">, </w:t>
      </w:r>
      <w:r w:rsidRPr="00E453FA">
        <w:rPr>
          <w:rFonts w:asciiTheme="majorHAnsi" w:hAnsiTheme="majorHAnsi" w:cstheme="majorHAnsi"/>
          <w:sz w:val="28"/>
          <w:szCs w:val="28"/>
          <w:lang w:val="vi-VN"/>
        </w:rPr>
        <w:t>chất lượng hàng hóa tương tự được công khai theo quy định tại Điều 1</w:t>
      </w:r>
      <w:r w:rsidR="008C0BCC" w:rsidRPr="008C0BCC">
        <w:rPr>
          <w:rFonts w:asciiTheme="majorHAnsi" w:hAnsiTheme="majorHAnsi" w:cstheme="majorHAnsi"/>
          <w:sz w:val="28"/>
          <w:szCs w:val="28"/>
          <w:lang w:val="vi-VN"/>
        </w:rPr>
        <w:t>9</w:t>
      </w:r>
      <w:r w:rsidRPr="00E453FA">
        <w:rPr>
          <w:rFonts w:asciiTheme="majorHAnsi" w:hAnsiTheme="majorHAnsi" w:cstheme="majorHAnsi"/>
          <w:sz w:val="28"/>
          <w:szCs w:val="28"/>
          <w:lang w:val="vi-VN"/>
        </w:rPr>
        <w:t xml:space="preserve"> của </w:t>
      </w:r>
      <w:r w:rsidR="008C0BCC" w:rsidRPr="008C0BCC">
        <w:rPr>
          <w:rFonts w:asciiTheme="majorHAnsi" w:hAnsiTheme="majorHAnsi" w:cstheme="majorHAnsi"/>
          <w:sz w:val="28"/>
          <w:szCs w:val="28"/>
          <w:lang w:val="vi-VN"/>
        </w:rPr>
        <w:t>Nghị định số 214/2025/NĐ-CP</w:t>
      </w:r>
      <w:r w:rsidRPr="00E453FA">
        <w:rPr>
          <w:rFonts w:asciiTheme="majorHAnsi" w:hAnsiTheme="majorHAnsi" w:cstheme="majorHAnsi"/>
          <w:sz w:val="28"/>
          <w:szCs w:val="28"/>
          <w:lang w:val="vi-VN"/>
        </w:rPr>
        <w:t xml:space="preserve"> (nếu có)</w:t>
      </w:r>
      <w:r w:rsidRPr="00E453FA" w:rsidDel="009A4DEF">
        <w:rPr>
          <w:rFonts w:asciiTheme="majorHAnsi" w:eastAsia="Calibri" w:hAnsiTheme="majorHAnsi" w:cstheme="majorHAnsi"/>
          <w:spacing w:val="2"/>
          <w:sz w:val="28"/>
          <w:szCs w:val="28"/>
          <w:lang w:val="vi-VN"/>
        </w:rPr>
        <w:t xml:space="preserve"> </w:t>
      </w:r>
      <w:r w:rsidRPr="00E453FA">
        <w:rPr>
          <w:rFonts w:asciiTheme="majorHAnsi" w:eastAsia="Calibri" w:hAnsiTheme="majorHAnsi" w:cstheme="majorHAns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5F7B1737" w14:textId="77777777" w:rsidR="00CE26E2" w:rsidRPr="00E453FA" w:rsidRDefault="00CE26E2" w:rsidP="00CE26E2">
      <w:pPr>
        <w:widowControl w:val="0"/>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Đặc tính, thông số kỹ thuật của hàng hóa, tiêu chuẩn sản xuất, tiêu chuẩn chế tạo và công nghệ;</w:t>
      </w:r>
    </w:p>
    <w:p w14:paraId="1036731F" w14:textId="77777777"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Tính hợp lý và hiệu quả kinh tế của các giải pháp kỹ thuật, biện pháp tổ chức cung cấp, lắp đặt hàng hóa;</w:t>
      </w:r>
    </w:p>
    <w:p w14:paraId="13EB3372" w14:textId="77777777"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Mức độ đáp ứng các yêu cầu về bảo hành, bảo trì: nhà thầu phải trình bày được kế hoạch cung cấp dịch vụ bảo hành, bảo trì;</w:t>
      </w:r>
    </w:p>
    <w:p w14:paraId="41216552" w14:textId="77777777"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3938CA83" w14:textId="77777777"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Khả năng thích ứng về mặt địa lý, môi trường;</w:t>
      </w:r>
    </w:p>
    <w:p w14:paraId="52BDE79E" w14:textId="77777777"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Tác động đối với môi trường và biện pháp giải quyết;</w:t>
      </w:r>
    </w:p>
    <w:p w14:paraId="5A6B850B" w14:textId="77777777"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Tiêu chí đấu thầu bền vững (nếu có);</w:t>
      </w:r>
    </w:p>
    <w:p w14:paraId="69DBDF5E" w14:textId="77777777"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Các yếu tố về điều kiện thương mại, thời gian giao hàng, đào tạo chuyển giao công nghệ, cung cấp các dịch vụ sau bán hàng;</w:t>
      </w:r>
    </w:p>
    <w:p w14:paraId="33151A53" w14:textId="77777777"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Tiến độ cung cấp hàng hóa;</w:t>
      </w:r>
    </w:p>
    <w:p w14:paraId="4B9FC1AF" w14:textId="77777777"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Yếu tố thân thiện môi trường;</w:t>
      </w:r>
    </w:p>
    <w:p w14:paraId="4AD6471E" w14:textId="10AA030E"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xml:space="preserve">- Kết quả thực hiện hợp đồng của nhà thầu đối với gói thầu cung cấp hàng hóa, EPC, EP, PC, chìa khóa trao tay theo quy định tại </w:t>
      </w:r>
      <w:r w:rsidR="008C0BCC" w:rsidRPr="008C0BCC">
        <w:rPr>
          <w:rFonts w:asciiTheme="majorHAnsi" w:hAnsiTheme="majorHAnsi" w:cstheme="majorHAnsi"/>
          <w:sz w:val="28"/>
          <w:szCs w:val="28"/>
          <w:lang w:val="vi-VN"/>
        </w:rPr>
        <w:t>Điều 19 và Điều 20</w:t>
      </w:r>
      <w:r w:rsidRPr="00E453FA">
        <w:rPr>
          <w:rFonts w:asciiTheme="majorHAnsi" w:hAnsiTheme="majorHAnsi" w:cstheme="majorHAnsi"/>
          <w:sz w:val="28"/>
          <w:szCs w:val="28"/>
          <w:lang w:val="vi-VN"/>
        </w:rPr>
        <w:t xml:space="preserve"> của </w:t>
      </w:r>
      <w:r w:rsidR="008C0BCC" w:rsidRPr="008C0BCC">
        <w:rPr>
          <w:rFonts w:asciiTheme="majorHAnsi" w:hAnsiTheme="majorHAnsi" w:cstheme="majorHAnsi"/>
          <w:sz w:val="28"/>
          <w:szCs w:val="28"/>
          <w:lang w:val="vi-VN"/>
        </w:rPr>
        <w:t>Nghị định số 214/2025/NĐ-CP</w:t>
      </w:r>
      <w:r w:rsidRPr="00E453FA">
        <w:rPr>
          <w:rFonts w:asciiTheme="majorHAnsi" w:hAnsiTheme="majorHAnsi" w:cstheme="majorHAnsi"/>
          <w:sz w:val="28"/>
          <w:szCs w:val="28"/>
          <w:lang w:val="vi-VN"/>
        </w:rPr>
        <w:t>, chất lượng hàng hóa tương tự được công khai theo quy định tại Điều 1</w:t>
      </w:r>
      <w:r w:rsidR="008C0BCC" w:rsidRPr="008C0BCC">
        <w:rPr>
          <w:rFonts w:asciiTheme="majorHAnsi" w:hAnsiTheme="majorHAnsi" w:cstheme="majorHAnsi"/>
          <w:sz w:val="28"/>
          <w:szCs w:val="28"/>
          <w:lang w:val="vi-VN"/>
        </w:rPr>
        <w:t>9</w:t>
      </w:r>
      <w:r w:rsidRPr="00E453FA">
        <w:rPr>
          <w:rFonts w:asciiTheme="majorHAnsi" w:hAnsiTheme="majorHAnsi" w:cstheme="majorHAnsi"/>
          <w:sz w:val="28"/>
          <w:szCs w:val="28"/>
          <w:lang w:val="vi-VN"/>
        </w:rPr>
        <w:t xml:space="preserve"> của </w:t>
      </w:r>
      <w:r w:rsidR="008C0BCC" w:rsidRPr="008C0BCC">
        <w:rPr>
          <w:rFonts w:asciiTheme="majorHAnsi" w:hAnsiTheme="majorHAnsi" w:cstheme="majorHAnsi"/>
          <w:sz w:val="28"/>
          <w:szCs w:val="28"/>
          <w:lang w:val="vi-VN"/>
        </w:rPr>
        <w:t>Nghị định số 214/2025/NĐ-CP</w:t>
      </w:r>
      <w:r w:rsidR="008C0BCC" w:rsidRPr="00E453FA">
        <w:rPr>
          <w:rFonts w:asciiTheme="majorHAnsi" w:hAnsiTheme="majorHAnsi" w:cstheme="majorHAnsi"/>
          <w:sz w:val="28"/>
          <w:szCs w:val="28"/>
          <w:lang w:val="vi-VN"/>
        </w:rPr>
        <w:t xml:space="preserve"> </w:t>
      </w:r>
      <w:r w:rsidRPr="00E453FA">
        <w:rPr>
          <w:rFonts w:asciiTheme="majorHAnsi" w:hAnsiTheme="majorHAnsi" w:cstheme="majorHAnsi"/>
          <w:sz w:val="28"/>
          <w:szCs w:val="28"/>
          <w:lang w:val="vi-VN"/>
        </w:rPr>
        <w:t>(nếu có);</w:t>
      </w:r>
    </w:p>
    <w:p w14:paraId="19731CFF" w14:textId="77777777" w:rsidR="00CE26E2" w:rsidRPr="00E453FA" w:rsidRDefault="00CE26E2" w:rsidP="00CE26E2">
      <w:pPr>
        <w:widowControl w:val="0"/>
        <w:tabs>
          <w:tab w:val="left" w:pos="851"/>
        </w:tabs>
        <w:spacing w:before="80" w:after="80" w:line="264" w:lineRule="auto"/>
        <w:ind w:firstLine="709"/>
        <w:rPr>
          <w:rFonts w:asciiTheme="majorHAnsi" w:hAnsiTheme="majorHAnsi" w:cstheme="majorHAnsi"/>
          <w:sz w:val="28"/>
          <w:szCs w:val="28"/>
          <w:lang w:val="vi-VN"/>
        </w:rPr>
      </w:pPr>
      <w:r w:rsidRPr="00E453FA">
        <w:rPr>
          <w:rFonts w:asciiTheme="majorHAnsi" w:hAnsiTheme="majorHAnsi" w:cstheme="majorHAnsi"/>
          <w:sz w:val="28"/>
          <w:szCs w:val="28"/>
          <w:lang w:val="vi-VN"/>
        </w:rPr>
        <w:t>- Các yếu tố cần thiết khác.</w:t>
      </w:r>
    </w:p>
    <w:p w14:paraId="702C26F8" w14:textId="77777777" w:rsidR="00CE26E2" w:rsidRPr="00E453FA" w:rsidRDefault="00CE26E2" w:rsidP="00CE26E2">
      <w:pPr>
        <w:pStyle w:val="ListParagraph"/>
        <w:numPr>
          <w:ilvl w:val="0"/>
          <w:numId w:val="34"/>
        </w:numPr>
        <w:spacing w:before="80" w:after="80" w:line="264" w:lineRule="auto"/>
        <w:rPr>
          <w:rFonts w:asciiTheme="majorHAnsi" w:hAnsiTheme="majorHAnsi" w:cstheme="majorHAnsi"/>
          <w:sz w:val="28"/>
          <w:szCs w:val="28"/>
          <w:lang w:val="es-ES"/>
        </w:rPr>
      </w:pPr>
      <w:r w:rsidRPr="00E453FA">
        <w:rPr>
          <w:rFonts w:asciiTheme="majorHAnsi" w:hAnsiTheme="majorHAnsi" w:cstheme="majorHAnsi"/>
          <w:b/>
          <w:iCs/>
          <w:sz w:val="28"/>
          <w:szCs w:val="28"/>
          <w:lang w:val="es-ES"/>
        </w:rPr>
        <w:lastRenderedPageBreak/>
        <w:t>3.2. Đánh giá theo phương pháp</w:t>
      </w:r>
      <w:r w:rsidRPr="00E453FA" w:rsidDel="00BE4476">
        <w:rPr>
          <w:rFonts w:asciiTheme="majorHAnsi" w:hAnsiTheme="majorHAnsi" w:cstheme="majorHAnsi"/>
          <w:b/>
          <w:iCs/>
          <w:sz w:val="28"/>
          <w:szCs w:val="28"/>
          <w:lang w:val="es-ES"/>
        </w:rPr>
        <w:t xml:space="preserve"> </w:t>
      </w:r>
      <w:r w:rsidRPr="00E453FA">
        <w:rPr>
          <w:rFonts w:asciiTheme="majorHAnsi" w:hAnsiTheme="majorHAnsi" w:cstheme="majorHAnsi"/>
          <w:b/>
          <w:iCs/>
          <w:sz w:val="28"/>
          <w:szCs w:val="28"/>
          <w:lang w:val="es-ES"/>
        </w:rPr>
        <w:t>đạt/không đạt</w:t>
      </w:r>
      <w:r w:rsidRPr="00E453FA">
        <w:rPr>
          <w:rFonts w:asciiTheme="majorHAnsi" w:hAnsiTheme="majorHAnsi" w:cstheme="majorHAnsi"/>
          <w:b/>
          <w:sz w:val="28"/>
          <w:szCs w:val="28"/>
          <w:lang w:val="es-ES"/>
        </w:rPr>
        <w:t>:</w:t>
      </w:r>
    </w:p>
    <w:p w14:paraId="68DFEB1B" w14:textId="77777777" w:rsidR="00CE26E2" w:rsidRPr="00E453FA" w:rsidRDefault="00CE26E2" w:rsidP="00CE26E2">
      <w:pPr>
        <w:spacing w:after="160" w:line="259" w:lineRule="auto"/>
        <w:rPr>
          <w:rFonts w:asciiTheme="majorHAnsi" w:hAnsiTheme="majorHAnsi" w:cstheme="majorHAnsi"/>
          <w:sz w:val="28"/>
          <w:szCs w:val="28"/>
          <w:lang w:val="es-ES"/>
        </w:rPr>
      </w:pPr>
      <w:r w:rsidRPr="00E453FA">
        <w:rPr>
          <w:rFonts w:asciiTheme="majorHAnsi" w:hAnsiTheme="majorHAnsi" w:cstheme="majorHAnsi"/>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14B641D" w14:textId="77777777" w:rsidR="00CE26E2" w:rsidRPr="00E453FA" w:rsidRDefault="00CE26E2" w:rsidP="00CE26E2">
      <w:pPr>
        <w:spacing w:after="160" w:line="259" w:lineRule="auto"/>
        <w:rPr>
          <w:rFonts w:asciiTheme="majorHAnsi" w:hAnsiTheme="majorHAnsi" w:cstheme="majorHAnsi"/>
          <w:sz w:val="28"/>
          <w:szCs w:val="28"/>
          <w:lang w:val="es-ES"/>
        </w:rPr>
      </w:pPr>
      <w:r w:rsidRPr="00E453FA">
        <w:rPr>
          <w:rFonts w:asciiTheme="majorHAnsi" w:hAnsiTheme="majorHAnsi" w:cstheme="majorHAnsi"/>
          <w:sz w:val="28"/>
          <w:szCs w:val="28"/>
          <w:lang w:val="es-ES"/>
        </w:rPr>
        <w:tab/>
        <w:t>Tiêu chí tổng quát được đánh giá là đạt khi tất cả các tiêu chí chi tiết cơ bản được đánh giá là đạt và các tiêu chí chi tiết không cơ bản được đánh giá là đạt hoặc chấp nhận được.</w:t>
      </w:r>
    </w:p>
    <w:p w14:paraId="744CAFA8" w14:textId="77777777" w:rsidR="00CE26E2" w:rsidRPr="00E453FA" w:rsidRDefault="00CE26E2" w:rsidP="00CE26E2">
      <w:pPr>
        <w:spacing w:after="160" w:line="259" w:lineRule="auto"/>
        <w:rPr>
          <w:rFonts w:asciiTheme="majorHAnsi" w:hAnsiTheme="majorHAnsi" w:cstheme="majorHAnsi"/>
          <w:sz w:val="28"/>
          <w:szCs w:val="28"/>
          <w:lang w:val="es-ES"/>
        </w:rPr>
      </w:pPr>
      <w:r w:rsidRPr="00E453FA">
        <w:rPr>
          <w:rFonts w:asciiTheme="majorHAnsi" w:hAnsiTheme="majorHAnsi" w:cstheme="majorHAnsi"/>
          <w:sz w:val="28"/>
          <w:szCs w:val="28"/>
          <w:lang w:val="es-ES"/>
        </w:rPr>
        <w:tab/>
        <w:t>Đối với các thông số ghi chữ “hoặc tương đương”: Nhà thầu phải cung cấp tài liệu chứng minh tương đương bằng tài liệu khoa học gốc từ nhà sản xuất hoặc các tài liệu khoa học được công nhận bởi các cơ quan, tổ chức uy tín trong nước và quốc tế. Đối với các thông số kỹ thuật xin ý kiến của Đơn vị sử dụng và Đơn vị sử dụng thống nhất ý kiến đáp ứng tương đương thì được đánh giá là đạt; Ngược lại trường hợp Đơn vị sử dụng không thống nhất đa số (&gt;60%) hoặc thống nhất không đáp ứng tương đương sẽ được đánh giá không đạt.</w:t>
      </w:r>
    </w:p>
    <w:p w14:paraId="3CFBBB70" w14:textId="77777777" w:rsidR="00CE26E2" w:rsidRPr="00E453FA" w:rsidRDefault="00CE26E2" w:rsidP="00CE26E2">
      <w:pPr>
        <w:spacing w:after="160" w:line="259" w:lineRule="auto"/>
        <w:rPr>
          <w:rFonts w:asciiTheme="majorHAnsi" w:hAnsiTheme="majorHAnsi" w:cstheme="majorHAnsi"/>
          <w:sz w:val="28"/>
          <w:szCs w:val="28"/>
          <w:lang w:val="es-ES"/>
        </w:rPr>
      </w:pPr>
      <w:r w:rsidRPr="00E453FA">
        <w:rPr>
          <w:rFonts w:asciiTheme="majorHAnsi" w:hAnsiTheme="majorHAnsi" w:cstheme="majorHAnsi"/>
          <w:sz w:val="28"/>
          <w:szCs w:val="28"/>
          <w:lang w:val="es-ES"/>
        </w:rPr>
        <w:tab/>
        <w:t>E-HSDT được đánh giá là đáp ứng yêu cầu về kỹ thuật khi có tất cả các tiêu chí tổng quát đều được đánh giá là đạt.</w:t>
      </w:r>
    </w:p>
    <w:p w14:paraId="205297D3" w14:textId="77777777" w:rsidR="00CE26E2" w:rsidRPr="00E453FA" w:rsidRDefault="00CE26E2" w:rsidP="00CE26E2">
      <w:pPr>
        <w:spacing w:after="160" w:line="259" w:lineRule="auto"/>
        <w:jc w:val="center"/>
        <w:rPr>
          <w:rFonts w:asciiTheme="majorHAnsi" w:hAnsiTheme="majorHAnsi" w:cstheme="majorHAnsi"/>
          <w:b/>
          <w:bCs/>
          <w:sz w:val="28"/>
          <w:szCs w:val="28"/>
          <w:lang w:val="es-ES"/>
        </w:rPr>
      </w:pPr>
      <w:r w:rsidRPr="00E453FA">
        <w:rPr>
          <w:rFonts w:asciiTheme="majorHAnsi" w:hAnsiTheme="majorHAnsi" w:cstheme="majorHAnsi"/>
          <w:b/>
          <w:bCs/>
          <w:sz w:val="28"/>
          <w:szCs w:val="28"/>
          <w:lang w:val="es-ES"/>
        </w:rPr>
        <w:t>BẢNG TIÊU CHUẨN ĐÁNH GIÁ VỀ KỸ THUẬT</w:t>
      </w:r>
    </w:p>
    <w:tbl>
      <w:tblPr>
        <w:tblStyle w:val="TableGrid"/>
        <w:tblpPr w:leftFromText="180" w:rightFromText="180" w:vertAnchor="text" w:tblpX="127" w:tblpY="1"/>
        <w:tblOverlap w:val="never"/>
        <w:tblW w:w="4692" w:type="pct"/>
        <w:tblLook w:val="04A0" w:firstRow="1" w:lastRow="0" w:firstColumn="1" w:lastColumn="0" w:noHBand="0" w:noVBand="1"/>
      </w:tblPr>
      <w:tblGrid>
        <w:gridCol w:w="2385"/>
        <w:gridCol w:w="10228"/>
        <w:gridCol w:w="1581"/>
      </w:tblGrid>
      <w:tr w:rsidR="00CE26E2" w:rsidRPr="008669A8" w14:paraId="54CADC45" w14:textId="77777777" w:rsidTr="008669A8">
        <w:trPr>
          <w:trHeight w:val="557"/>
          <w:tblHeader/>
        </w:trPr>
        <w:tc>
          <w:tcPr>
            <w:tcW w:w="4443" w:type="pct"/>
            <w:gridSpan w:val="2"/>
            <w:vAlign w:val="center"/>
            <w:hideMark/>
          </w:tcPr>
          <w:p w14:paraId="1B972EDB" w14:textId="77777777" w:rsidR="00CE26E2" w:rsidRPr="008669A8" w:rsidRDefault="00CE26E2" w:rsidP="008669A8">
            <w:pPr>
              <w:widowControl w:val="0"/>
              <w:jc w:val="center"/>
              <w:rPr>
                <w:rFonts w:asciiTheme="majorHAnsi" w:eastAsia="Calibri" w:hAnsiTheme="majorHAnsi" w:cstheme="majorHAnsi"/>
                <w:b/>
                <w:sz w:val="26"/>
                <w:szCs w:val="26"/>
              </w:rPr>
            </w:pPr>
            <w:r w:rsidRPr="008669A8">
              <w:rPr>
                <w:rFonts w:asciiTheme="majorHAnsi" w:hAnsiTheme="majorHAnsi" w:cstheme="majorHAnsi"/>
                <w:b/>
                <w:sz w:val="26"/>
                <w:szCs w:val="26"/>
              </w:rPr>
              <w:t>Nội dung đánh giá</w:t>
            </w:r>
          </w:p>
        </w:tc>
        <w:tc>
          <w:tcPr>
            <w:tcW w:w="557" w:type="pct"/>
            <w:vAlign w:val="center"/>
            <w:hideMark/>
          </w:tcPr>
          <w:p w14:paraId="11ED39B0" w14:textId="77777777" w:rsidR="00CE26E2" w:rsidRPr="008669A8" w:rsidRDefault="00CE26E2" w:rsidP="008669A8">
            <w:pPr>
              <w:widowControl w:val="0"/>
              <w:jc w:val="center"/>
              <w:rPr>
                <w:rFonts w:asciiTheme="majorHAnsi" w:eastAsia="Calibri" w:hAnsiTheme="majorHAnsi" w:cstheme="majorHAnsi"/>
                <w:b/>
                <w:sz w:val="26"/>
                <w:szCs w:val="26"/>
              </w:rPr>
            </w:pPr>
            <w:r w:rsidRPr="008669A8">
              <w:rPr>
                <w:rFonts w:asciiTheme="majorHAnsi" w:hAnsiTheme="majorHAnsi" w:cstheme="majorHAnsi"/>
                <w:b/>
                <w:sz w:val="26"/>
                <w:szCs w:val="26"/>
              </w:rPr>
              <w:t>Đánh giá</w:t>
            </w:r>
          </w:p>
        </w:tc>
      </w:tr>
      <w:tr w:rsidR="00CE26E2" w:rsidRPr="008669A8" w14:paraId="5EFBC720" w14:textId="77777777" w:rsidTr="008669A8">
        <w:tc>
          <w:tcPr>
            <w:tcW w:w="5000" w:type="pct"/>
            <w:gridSpan w:val="3"/>
            <w:vAlign w:val="center"/>
          </w:tcPr>
          <w:p w14:paraId="057119EA" w14:textId="77777777" w:rsidR="00CE26E2" w:rsidRPr="008669A8" w:rsidRDefault="00CE26E2" w:rsidP="008669A8">
            <w:pPr>
              <w:widowControl w:val="0"/>
              <w:jc w:val="left"/>
              <w:rPr>
                <w:rFonts w:asciiTheme="majorHAnsi" w:hAnsiTheme="majorHAnsi" w:cstheme="majorHAnsi"/>
                <w:b/>
                <w:sz w:val="26"/>
                <w:szCs w:val="26"/>
              </w:rPr>
            </w:pPr>
            <w:r w:rsidRPr="008669A8">
              <w:rPr>
                <w:rFonts w:asciiTheme="majorHAnsi" w:hAnsiTheme="majorHAnsi" w:cstheme="majorHAnsi"/>
                <w:b/>
                <w:bCs/>
                <w:sz w:val="26"/>
                <w:szCs w:val="26"/>
                <w:lang w:eastAsia="vi-VN"/>
              </w:rPr>
              <w:t>1. Tính hợp lệ của hàng hóa</w:t>
            </w:r>
          </w:p>
        </w:tc>
      </w:tr>
      <w:tr w:rsidR="00CE26E2" w:rsidRPr="008669A8" w14:paraId="03F68968" w14:textId="77777777" w:rsidTr="008669A8">
        <w:trPr>
          <w:trHeight w:val="1389"/>
        </w:trPr>
        <w:tc>
          <w:tcPr>
            <w:tcW w:w="840" w:type="pct"/>
            <w:vMerge w:val="restart"/>
            <w:vAlign w:val="center"/>
            <w:hideMark/>
          </w:tcPr>
          <w:p w14:paraId="7C12FB66" w14:textId="77777777" w:rsidR="00CE26E2" w:rsidRPr="008669A8" w:rsidRDefault="00CE26E2" w:rsidP="008669A8">
            <w:pPr>
              <w:widowControl w:val="0"/>
              <w:rPr>
                <w:rFonts w:asciiTheme="majorHAnsi" w:hAnsiTheme="majorHAnsi" w:cstheme="majorHAnsi"/>
                <w:sz w:val="26"/>
                <w:szCs w:val="26"/>
              </w:rPr>
            </w:pPr>
            <w:r w:rsidRPr="008669A8">
              <w:rPr>
                <w:rFonts w:asciiTheme="majorHAnsi" w:hAnsiTheme="majorHAnsi" w:cstheme="majorHAnsi"/>
                <w:sz w:val="26"/>
                <w:szCs w:val="26"/>
                <w:lang w:eastAsia="vi-VN"/>
              </w:rPr>
              <w:t>Tính hợp lệ của hàng hóa</w:t>
            </w:r>
          </w:p>
        </w:tc>
        <w:tc>
          <w:tcPr>
            <w:tcW w:w="3603" w:type="pct"/>
            <w:vAlign w:val="center"/>
            <w:hideMark/>
          </w:tcPr>
          <w:p w14:paraId="7F438404" w14:textId="2724D483" w:rsidR="00CE26E2" w:rsidRPr="008669A8" w:rsidRDefault="00CE26E2" w:rsidP="008669A8">
            <w:pPr>
              <w:autoSpaceDE w:val="0"/>
              <w:autoSpaceDN w:val="0"/>
              <w:adjustRightInd w:val="0"/>
              <w:rPr>
                <w:rFonts w:asciiTheme="majorHAnsi" w:hAnsiTheme="majorHAnsi" w:cstheme="majorHAnsi"/>
                <w:color w:val="000000"/>
                <w:sz w:val="26"/>
                <w:szCs w:val="26"/>
                <w:lang w:val="vi-VN"/>
              </w:rPr>
            </w:pPr>
            <w:r w:rsidRPr="008669A8">
              <w:rPr>
                <w:rFonts w:asciiTheme="majorHAnsi" w:hAnsiTheme="majorHAnsi" w:cstheme="majorHAnsi"/>
                <w:color w:val="000000"/>
                <w:sz w:val="26"/>
                <w:szCs w:val="26"/>
                <w:lang w:val="vi-VN"/>
              </w:rPr>
              <w:t>Hàng hóa dự thầu đạt khi đáp ứng tất cả các tiêu chí sau:</w:t>
            </w:r>
          </w:p>
          <w:p w14:paraId="5C2C9958" w14:textId="06B2392B" w:rsidR="00CE26E2" w:rsidRPr="008669A8" w:rsidRDefault="00CE26E2" w:rsidP="008669A8">
            <w:pPr>
              <w:autoSpaceDE w:val="0"/>
              <w:autoSpaceDN w:val="0"/>
              <w:adjustRightInd w:val="0"/>
              <w:rPr>
                <w:rFonts w:asciiTheme="majorHAnsi" w:hAnsiTheme="majorHAnsi" w:cstheme="majorHAnsi"/>
                <w:color w:val="000000"/>
                <w:sz w:val="26"/>
                <w:szCs w:val="26"/>
                <w:lang w:val="vi-VN"/>
              </w:rPr>
            </w:pPr>
            <w:r w:rsidRPr="008669A8">
              <w:rPr>
                <w:rFonts w:asciiTheme="majorHAnsi" w:hAnsiTheme="majorHAnsi" w:cstheme="majorHAnsi"/>
                <w:color w:val="000000"/>
                <w:sz w:val="26"/>
                <w:szCs w:val="26"/>
                <w:lang w:val="vi-VN"/>
              </w:rPr>
              <w:t xml:space="preserve">- Nhà thầu kê khai </w:t>
            </w:r>
            <w:r w:rsidR="00CE6E52">
              <w:rPr>
                <w:rFonts w:asciiTheme="majorHAnsi" w:hAnsiTheme="majorHAnsi" w:cstheme="majorHAnsi"/>
                <w:color w:val="000000"/>
                <w:sz w:val="26"/>
                <w:szCs w:val="26"/>
                <w:lang w:val="vi-VN"/>
              </w:rPr>
              <w:t xml:space="preserve">tất cả các biểu mẫu yêu cầu của e-HSMT và </w:t>
            </w:r>
            <w:r w:rsidRPr="008669A8">
              <w:rPr>
                <w:rFonts w:asciiTheme="majorHAnsi" w:hAnsiTheme="majorHAnsi" w:cstheme="majorHAnsi"/>
                <w:color w:val="000000"/>
                <w:sz w:val="26"/>
                <w:szCs w:val="26"/>
                <w:lang w:val="vi-VN"/>
              </w:rPr>
              <w:t xml:space="preserve">Phụ lục 01 - </w:t>
            </w:r>
            <w:r w:rsidRPr="008669A8">
              <w:rPr>
                <w:rFonts w:asciiTheme="majorHAnsi" w:hAnsiTheme="majorHAnsi" w:cstheme="majorHAnsi"/>
                <w:sz w:val="26"/>
                <w:szCs w:val="26"/>
                <w:lang w:val="vi-VN"/>
              </w:rPr>
              <w:t>Bảng kê khai danh mục hàng hóa dự thầu được đính kèm dưới dạng file Excel tại chương V HSMT</w:t>
            </w:r>
            <w:r w:rsidRPr="008669A8">
              <w:rPr>
                <w:rFonts w:asciiTheme="majorHAnsi" w:hAnsiTheme="majorHAnsi" w:cstheme="majorHAnsi"/>
                <w:color w:val="000000"/>
                <w:sz w:val="26"/>
                <w:szCs w:val="26"/>
                <w:lang w:val="vi-VN"/>
              </w:rPr>
              <w:t xml:space="preserve"> và đính kèm file Excel trong HSDT.</w:t>
            </w:r>
          </w:p>
          <w:p w14:paraId="3603A39B" w14:textId="4AF9747D" w:rsidR="00CE26E2" w:rsidRPr="008669A8" w:rsidRDefault="00CE26E2" w:rsidP="008669A8">
            <w:pPr>
              <w:autoSpaceDE w:val="0"/>
              <w:autoSpaceDN w:val="0"/>
              <w:adjustRightInd w:val="0"/>
              <w:rPr>
                <w:rFonts w:asciiTheme="majorHAnsi" w:hAnsiTheme="majorHAnsi" w:cstheme="majorHAnsi"/>
                <w:color w:val="000000"/>
                <w:sz w:val="26"/>
                <w:szCs w:val="26"/>
                <w:lang w:val="vi-VN"/>
              </w:rPr>
            </w:pPr>
            <w:r w:rsidRPr="008669A8">
              <w:rPr>
                <w:rFonts w:asciiTheme="majorHAnsi" w:hAnsiTheme="majorHAnsi" w:cstheme="majorHAnsi"/>
                <w:color w:val="000000"/>
                <w:sz w:val="26"/>
                <w:szCs w:val="26"/>
                <w:lang w:val="vi-VN"/>
              </w:rPr>
              <w:t>- Cung cấp kèm theo E-HSDT các tài liệu tại Mục 1.2 thuộc Chương V.</w:t>
            </w:r>
          </w:p>
        </w:tc>
        <w:tc>
          <w:tcPr>
            <w:tcW w:w="557" w:type="pct"/>
            <w:vAlign w:val="center"/>
            <w:hideMark/>
          </w:tcPr>
          <w:p w14:paraId="44A83498" w14:textId="77777777" w:rsidR="00CE26E2" w:rsidRPr="008669A8" w:rsidRDefault="00CE26E2" w:rsidP="008669A8">
            <w:pPr>
              <w:widowControl w:val="0"/>
              <w:jc w:val="center"/>
              <w:rPr>
                <w:rFonts w:asciiTheme="majorHAnsi" w:hAnsiTheme="majorHAnsi" w:cstheme="majorHAnsi"/>
                <w:b/>
                <w:sz w:val="26"/>
                <w:szCs w:val="26"/>
              </w:rPr>
            </w:pPr>
            <w:r w:rsidRPr="008669A8">
              <w:rPr>
                <w:rFonts w:asciiTheme="majorHAnsi" w:hAnsiTheme="majorHAnsi" w:cstheme="majorHAnsi"/>
                <w:b/>
                <w:sz w:val="26"/>
                <w:szCs w:val="26"/>
              </w:rPr>
              <w:t>Đạt</w:t>
            </w:r>
          </w:p>
        </w:tc>
      </w:tr>
      <w:tr w:rsidR="00CE26E2" w:rsidRPr="008669A8" w14:paraId="36DE8695" w14:textId="77777777" w:rsidTr="008669A8">
        <w:trPr>
          <w:trHeight w:val="1559"/>
        </w:trPr>
        <w:tc>
          <w:tcPr>
            <w:tcW w:w="840" w:type="pct"/>
            <w:vMerge/>
            <w:vAlign w:val="center"/>
            <w:hideMark/>
          </w:tcPr>
          <w:p w14:paraId="24021A9F" w14:textId="77777777" w:rsidR="00CE26E2" w:rsidRPr="008669A8" w:rsidRDefault="00CE26E2" w:rsidP="008669A8">
            <w:pPr>
              <w:rPr>
                <w:rFonts w:asciiTheme="majorHAnsi" w:hAnsiTheme="majorHAnsi" w:cstheme="majorHAnsi"/>
                <w:sz w:val="26"/>
                <w:szCs w:val="26"/>
                <w:lang w:val="vi-VN"/>
              </w:rPr>
            </w:pPr>
          </w:p>
        </w:tc>
        <w:tc>
          <w:tcPr>
            <w:tcW w:w="3603" w:type="pct"/>
            <w:vAlign w:val="center"/>
            <w:hideMark/>
          </w:tcPr>
          <w:p w14:paraId="7FC4164E" w14:textId="1B201D73" w:rsidR="00CE26E2" w:rsidRPr="008669A8" w:rsidRDefault="00CE26E2" w:rsidP="008669A8">
            <w:pPr>
              <w:autoSpaceDE w:val="0"/>
              <w:autoSpaceDN w:val="0"/>
              <w:adjustRightInd w:val="0"/>
              <w:rPr>
                <w:rFonts w:asciiTheme="majorHAnsi" w:hAnsiTheme="majorHAnsi" w:cstheme="majorHAnsi"/>
                <w:color w:val="000000"/>
                <w:sz w:val="26"/>
                <w:szCs w:val="26"/>
                <w:lang w:val="vi-VN"/>
              </w:rPr>
            </w:pPr>
            <w:r w:rsidRPr="008669A8">
              <w:rPr>
                <w:rFonts w:asciiTheme="majorHAnsi" w:hAnsiTheme="majorHAnsi" w:cstheme="majorHAnsi"/>
                <w:color w:val="000000"/>
                <w:sz w:val="26"/>
                <w:szCs w:val="26"/>
                <w:lang w:val="vi-VN"/>
              </w:rPr>
              <w:t>Hàng hóa dự thầu không đạt nếu vi phạm 1 trong các trường hợp sau:</w:t>
            </w:r>
          </w:p>
          <w:p w14:paraId="2098B8A8" w14:textId="31EF6DF2" w:rsidR="00CE26E2" w:rsidRPr="008669A8" w:rsidRDefault="00CE26E2" w:rsidP="008669A8">
            <w:pPr>
              <w:autoSpaceDE w:val="0"/>
              <w:autoSpaceDN w:val="0"/>
              <w:adjustRightInd w:val="0"/>
              <w:rPr>
                <w:rFonts w:asciiTheme="majorHAnsi" w:hAnsiTheme="majorHAnsi" w:cstheme="majorHAnsi"/>
                <w:color w:val="000000"/>
                <w:sz w:val="26"/>
                <w:szCs w:val="26"/>
                <w:lang w:val="vi-VN"/>
              </w:rPr>
            </w:pPr>
            <w:r w:rsidRPr="008669A8">
              <w:rPr>
                <w:rFonts w:asciiTheme="majorHAnsi" w:hAnsiTheme="majorHAnsi" w:cstheme="majorHAnsi"/>
                <w:sz w:val="26"/>
                <w:szCs w:val="26"/>
                <w:lang w:val="vi-VN" w:eastAsia="vi-VN"/>
              </w:rPr>
              <w:t xml:space="preserve">- </w:t>
            </w:r>
            <w:r w:rsidRPr="008669A8">
              <w:rPr>
                <w:rFonts w:asciiTheme="majorHAnsi" w:hAnsiTheme="majorHAnsi" w:cstheme="majorHAnsi"/>
                <w:color w:val="000000"/>
                <w:sz w:val="26"/>
                <w:szCs w:val="26"/>
                <w:lang w:val="vi-VN"/>
              </w:rPr>
              <w:t xml:space="preserve">Nhà thầu không kê khai </w:t>
            </w:r>
            <w:r w:rsidR="00CE6E52">
              <w:rPr>
                <w:rFonts w:asciiTheme="majorHAnsi" w:hAnsiTheme="majorHAnsi" w:cstheme="majorHAnsi"/>
                <w:color w:val="000000"/>
                <w:sz w:val="26"/>
                <w:szCs w:val="26"/>
                <w:lang w:val="vi-VN"/>
              </w:rPr>
              <w:t xml:space="preserve"> tất cả các biểu mẫu yêu cầu của e-HSMT</w:t>
            </w:r>
            <w:r w:rsidR="00CE6E52" w:rsidRPr="008669A8">
              <w:rPr>
                <w:rFonts w:asciiTheme="majorHAnsi" w:hAnsiTheme="majorHAnsi" w:cstheme="majorHAnsi"/>
                <w:color w:val="000000"/>
                <w:sz w:val="26"/>
                <w:szCs w:val="26"/>
                <w:lang w:val="vi-VN"/>
              </w:rPr>
              <w:t xml:space="preserve"> </w:t>
            </w:r>
            <w:r w:rsidR="00CE6E52">
              <w:rPr>
                <w:rFonts w:asciiTheme="majorHAnsi" w:hAnsiTheme="majorHAnsi" w:cstheme="majorHAnsi"/>
                <w:color w:val="000000"/>
                <w:sz w:val="26"/>
                <w:szCs w:val="26"/>
                <w:lang w:val="vi-VN"/>
              </w:rPr>
              <w:t xml:space="preserve">và </w:t>
            </w:r>
            <w:r w:rsidRPr="008669A8">
              <w:rPr>
                <w:rFonts w:asciiTheme="majorHAnsi" w:hAnsiTheme="majorHAnsi" w:cstheme="majorHAnsi"/>
                <w:color w:val="000000"/>
                <w:sz w:val="26"/>
                <w:szCs w:val="26"/>
                <w:lang w:val="vi-VN"/>
              </w:rPr>
              <w:t>Phụ lục 01 hoặc không đính kèm file Excel trong E-HSDT.</w:t>
            </w:r>
          </w:p>
          <w:p w14:paraId="1DF0C47F" w14:textId="3A16836B" w:rsidR="00CE26E2" w:rsidRPr="008669A8" w:rsidRDefault="00CE26E2" w:rsidP="008669A8">
            <w:pPr>
              <w:autoSpaceDE w:val="0"/>
              <w:autoSpaceDN w:val="0"/>
              <w:adjustRightInd w:val="0"/>
              <w:rPr>
                <w:rFonts w:asciiTheme="majorHAnsi" w:hAnsiTheme="majorHAnsi" w:cstheme="majorHAnsi"/>
                <w:color w:val="000000"/>
                <w:sz w:val="26"/>
                <w:szCs w:val="26"/>
                <w:lang w:val="vi-VN"/>
              </w:rPr>
            </w:pPr>
            <w:r w:rsidRPr="008669A8">
              <w:rPr>
                <w:rFonts w:asciiTheme="majorHAnsi" w:hAnsiTheme="majorHAnsi" w:cstheme="majorHAnsi"/>
                <w:color w:val="000000"/>
                <w:sz w:val="26"/>
                <w:szCs w:val="26"/>
                <w:lang w:val="vi-VN"/>
              </w:rPr>
              <w:t>- Không cung cấp kèm theo E-HSDT các tài liệu tại Mục 1.2 thuộc Chương V.</w:t>
            </w:r>
          </w:p>
          <w:p w14:paraId="38AF1035" w14:textId="77777777" w:rsidR="00CE26E2" w:rsidRPr="008669A8" w:rsidRDefault="00CE26E2" w:rsidP="008669A8">
            <w:pPr>
              <w:autoSpaceDE w:val="0"/>
              <w:autoSpaceDN w:val="0"/>
              <w:adjustRightInd w:val="0"/>
              <w:rPr>
                <w:rFonts w:asciiTheme="majorHAnsi" w:hAnsiTheme="majorHAnsi" w:cstheme="majorHAnsi"/>
                <w:color w:val="000000"/>
                <w:sz w:val="26"/>
                <w:szCs w:val="26"/>
                <w:lang w:val="vi-VN"/>
              </w:rPr>
            </w:pPr>
            <w:r w:rsidRPr="008669A8">
              <w:rPr>
                <w:rFonts w:asciiTheme="majorHAnsi" w:hAnsiTheme="majorHAnsi" w:cstheme="majorHAnsi"/>
                <w:color w:val="000000"/>
                <w:sz w:val="26"/>
                <w:szCs w:val="26"/>
                <w:lang w:val="vi-VN"/>
              </w:rPr>
              <w:t>- Cung cấp nội dung không thống nhất đối với cùng một tài liệu kỹ thuật.</w:t>
            </w:r>
          </w:p>
        </w:tc>
        <w:tc>
          <w:tcPr>
            <w:tcW w:w="557" w:type="pct"/>
            <w:vAlign w:val="center"/>
            <w:hideMark/>
          </w:tcPr>
          <w:p w14:paraId="2F0D9374" w14:textId="77777777" w:rsidR="00CE26E2" w:rsidRPr="008669A8" w:rsidRDefault="00CE26E2" w:rsidP="008669A8">
            <w:pPr>
              <w:widowControl w:val="0"/>
              <w:jc w:val="center"/>
              <w:rPr>
                <w:rFonts w:asciiTheme="majorHAnsi" w:hAnsiTheme="majorHAnsi" w:cstheme="majorHAnsi"/>
                <w:b/>
                <w:sz w:val="26"/>
                <w:szCs w:val="26"/>
                <w:lang w:eastAsia="vi-VN"/>
              </w:rPr>
            </w:pPr>
            <w:r w:rsidRPr="008669A8">
              <w:rPr>
                <w:rFonts w:asciiTheme="majorHAnsi" w:hAnsiTheme="majorHAnsi" w:cstheme="majorHAnsi"/>
                <w:b/>
                <w:sz w:val="26"/>
                <w:szCs w:val="26"/>
                <w:lang w:eastAsia="vi-VN"/>
              </w:rPr>
              <w:t>Không đạt</w:t>
            </w:r>
          </w:p>
        </w:tc>
      </w:tr>
      <w:tr w:rsidR="00CE26E2" w:rsidRPr="008669A8" w14:paraId="06FC0E64" w14:textId="77777777" w:rsidTr="008669A8">
        <w:trPr>
          <w:trHeight w:val="567"/>
        </w:trPr>
        <w:tc>
          <w:tcPr>
            <w:tcW w:w="5000" w:type="pct"/>
            <w:gridSpan w:val="3"/>
            <w:vAlign w:val="center"/>
          </w:tcPr>
          <w:p w14:paraId="11DDD9E0" w14:textId="77777777" w:rsidR="00CE26E2" w:rsidRPr="008669A8" w:rsidRDefault="00CE26E2" w:rsidP="008669A8">
            <w:pPr>
              <w:widowControl w:val="0"/>
              <w:rPr>
                <w:rFonts w:asciiTheme="majorHAnsi" w:hAnsiTheme="majorHAnsi" w:cstheme="majorHAnsi"/>
                <w:b/>
                <w:bCs/>
                <w:sz w:val="26"/>
                <w:szCs w:val="26"/>
                <w:lang w:eastAsia="vi-VN"/>
              </w:rPr>
            </w:pPr>
            <w:r w:rsidRPr="008669A8">
              <w:rPr>
                <w:rFonts w:asciiTheme="majorHAnsi" w:hAnsiTheme="majorHAnsi" w:cstheme="majorHAnsi"/>
                <w:b/>
                <w:bCs/>
                <w:sz w:val="26"/>
                <w:szCs w:val="26"/>
                <w:lang w:eastAsia="vi-VN"/>
              </w:rPr>
              <w:lastRenderedPageBreak/>
              <w:t>2. Đặc tính kỹ thuật của hàng hóa</w:t>
            </w:r>
          </w:p>
        </w:tc>
      </w:tr>
      <w:tr w:rsidR="00CE26E2" w:rsidRPr="008669A8" w14:paraId="1EC9FF4B" w14:textId="77777777" w:rsidTr="008669A8">
        <w:trPr>
          <w:trHeight w:val="1422"/>
        </w:trPr>
        <w:tc>
          <w:tcPr>
            <w:tcW w:w="840" w:type="pct"/>
            <w:vMerge w:val="restart"/>
            <w:vAlign w:val="center"/>
          </w:tcPr>
          <w:p w14:paraId="0EC0C5A8" w14:textId="77777777" w:rsidR="00CE26E2" w:rsidRPr="008669A8" w:rsidRDefault="00CE26E2" w:rsidP="008669A8">
            <w:pPr>
              <w:widowControl w:val="0"/>
              <w:rPr>
                <w:rFonts w:asciiTheme="majorHAnsi" w:hAnsiTheme="majorHAnsi" w:cstheme="majorHAnsi"/>
                <w:sz w:val="26"/>
                <w:szCs w:val="26"/>
                <w:lang w:eastAsia="vi-VN"/>
              </w:rPr>
            </w:pPr>
            <w:r w:rsidRPr="008669A8">
              <w:rPr>
                <w:rFonts w:asciiTheme="majorHAnsi" w:hAnsiTheme="majorHAnsi" w:cstheme="majorHAnsi"/>
                <w:sz w:val="26"/>
                <w:szCs w:val="26"/>
                <w:lang w:eastAsia="vi-VN"/>
              </w:rPr>
              <w:t>Đặc tính kỹ thuật của hàng hóa</w:t>
            </w:r>
          </w:p>
        </w:tc>
        <w:tc>
          <w:tcPr>
            <w:tcW w:w="3603" w:type="pct"/>
            <w:vAlign w:val="center"/>
          </w:tcPr>
          <w:p w14:paraId="146B81C5" w14:textId="150BDF37" w:rsidR="00CE26E2" w:rsidRPr="008669A8" w:rsidRDefault="00CE26E2" w:rsidP="008669A8">
            <w:pPr>
              <w:widowControl w:val="0"/>
              <w:rPr>
                <w:rFonts w:asciiTheme="majorHAnsi" w:hAnsiTheme="majorHAnsi" w:cstheme="majorHAnsi"/>
                <w:sz w:val="26"/>
                <w:szCs w:val="26"/>
                <w:lang w:val="vi-VN" w:eastAsia="vi-VN"/>
              </w:rPr>
            </w:pPr>
            <w:r w:rsidRPr="008669A8">
              <w:rPr>
                <w:rFonts w:asciiTheme="majorHAnsi" w:hAnsiTheme="majorHAnsi" w:cstheme="majorHAnsi"/>
                <w:color w:val="000000"/>
                <w:sz w:val="26"/>
                <w:szCs w:val="26"/>
                <w:lang w:val="vi-VN"/>
              </w:rPr>
              <w:t xml:space="preserve">- </w:t>
            </w:r>
            <w:r w:rsidRPr="008669A8">
              <w:rPr>
                <w:rFonts w:asciiTheme="majorHAnsi" w:hAnsiTheme="majorHAnsi" w:cstheme="majorHAnsi"/>
                <w:sz w:val="26"/>
                <w:szCs w:val="26"/>
                <w:lang w:val="vi-VN" w:eastAsia="vi-VN"/>
              </w:rPr>
              <w:t xml:space="preserve">Đáp ứng về chủng loại, số lượng theo yêu cầu </w:t>
            </w:r>
            <w:r w:rsidRPr="008669A8">
              <w:rPr>
                <w:rFonts w:asciiTheme="majorHAnsi" w:hAnsiTheme="majorHAnsi" w:cstheme="majorHAnsi"/>
                <w:sz w:val="26"/>
                <w:szCs w:val="26"/>
                <w:lang w:val="vi-VN"/>
              </w:rPr>
              <w:t xml:space="preserve">tại </w:t>
            </w:r>
            <w:r w:rsidRPr="008669A8">
              <w:rPr>
                <w:rFonts w:asciiTheme="majorHAnsi" w:hAnsiTheme="majorHAnsi" w:cstheme="majorHAnsi"/>
                <w:sz w:val="26"/>
                <w:szCs w:val="26"/>
                <w:lang w:val="vi-VN" w:eastAsia="vi-VN"/>
              </w:rPr>
              <w:t>Bảng số 01B. Phạm vi cung cấp hàng hóa. Hàng hóa do nhà thầu chào phải nêu rõ ký mã hiệu, nhãn mác sản phẩm (nếu có), tên nhà sản xuất, nguồn gốc xuất xứ.</w:t>
            </w:r>
          </w:p>
          <w:p w14:paraId="7B5E1DD5" w14:textId="77777777" w:rsidR="00CE26E2" w:rsidRPr="008669A8" w:rsidRDefault="00CE26E2" w:rsidP="008669A8">
            <w:pPr>
              <w:widowControl w:val="0"/>
              <w:rPr>
                <w:rFonts w:asciiTheme="majorHAnsi" w:hAnsiTheme="majorHAnsi" w:cstheme="majorHAnsi"/>
                <w:b/>
                <w:bCs/>
                <w:sz w:val="26"/>
                <w:szCs w:val="26"/>
                <w:lang w:val="vi-VN" w:eastAsia="vi-VN"/>
              </w:rPr>
            </w:pPr>
            <w:r w:rsidRPr="008669A8">
              <w:rPr>
                <w:rFonts w:asciiTheme="majorHAnsi" w:hAnsiTheme="majorHAnsi" w:cstheme="majorHAnsi"/>
                <w:color w:val="000000"/>
                <w:sz w:val="26"/>
                <w:szCs w:val="26"/>
                <w:lang w:val="vi-VN"/>
              </w:rPr>
              <w:t>- Có thông số kỹ thuật, tiêu chuẩn đáp ứng yêu cầu tại Chương V.</w:t>
            </w:r>
          </w:p>
        </w:tc>
        <w:tc>
          <w:tcPr>
            <w:tcW w:w="557" w:type="pct"/>
            <w:vAlign w:val="center"/>
          </w:tcPr>
          <w:p w14:paraId="64AB6837" w14:textId="77777777" w:rsidR="00CE26E2" w:rsidRPr="008669A8" w:rsidRDefault="00CE26E2" w:rsidP="008669A8">
            <w:pPr>
              <w:widowControl w:val="0"/>
              <w:jc w:val="center"/>
              <w:rPr>
                <w:rFonts w:asciiTheme="majorHAnsi" w:hAnsiTheme="majorHAnsi" w:cstheme="majorHAnsi"/>
                <w:b/>
                <w:bCs/>
                <w:sz w:val="26"/>
                <w:szCs w:val="26"/>
                <w:lang w:val="vi-VN" w:eastAsia="vi-VN"/>
              </w:rPr>
            </w:pPr>
            <w:r w:rsidRPr="008669A8">
              <w:rPr>
                <w:rFonts w:asciiTheme="majorHAnsi" w:hAnsiTheme="majorHAnsi" w:cstheme="majorHAnsi"/>
                <w:b/>
                <w:sz w:val="26"/>
                <w:szCs w:val="26"/>
              </w:rPr>
              <w:t>Đạt</w:t>
            </w:r>
          </w:p>
        </w:tc>
      </w:tr>
      <w:tr w:rsidR="00CE26E2" w:rsidRPr="008669A8" w14:paraId="5920271F" w14:textId="77777777" w:rsidTr="008669A8">
        <w:trPr>
          <w:trHeight w:val="1116"/>
        </w:trPr>
        <w:tc>
          <w:tcPr>
            <w:tcW w:w="840" w:type="pct"/>
            <w:vMerge/>
            <w:vAlign w:val="center"/>
          </w:tcPr>
          <w:p w14:paraId="465396A5" w14:textId="77777777" w:rsidR="00CE26E2" w:rsidRPr="008669A8" w:rsidRDefault="00CE26E2" w:rsidP="008669A8">
            <w:pPr>
              <w:widowControl w:val="0"/>
              <w:jc w:val="left"/>
              <w:rPr>
                <w:rFonts w:asciiTheme="majorHAnsi" w:hAnsiTheme="majorHAnsi" w:cstheme="majorHAnsi"/>
                <w:b/>
                <w:bCs/>
                <w:sz w:val="26"/>
                <w:szCs w:val="26"/>
                <w:lang w:val="vi-VN" w:eastAsia="vi-VN"/>
              </w:rPr>
            </w:pPr>
          </w:p>
        </w:tc>
        <w:tc>
          <w:tcPr>
            <w:tcW w:w="3603" w:type="pct"/>
            <w:vAlign w:val="center"/>
          </w:tcPr>
          <w:p w14:paraId="0FC70CD7" w14:textId="115C17DB" w:rsidR="00CE26E2" w:rsidRPr="008669A8" w:rsidRDefault="00CE26E2" w:rsidP="008669A8">
            <w:pPr>
              <w:widowControl w:val="0"/>
              <w:rPr>
                <w:rFonts w:asciiTheme="majorHAnsi" w:hAnsiTheme="majorHAnsi" w:cstheme="majorHAnsi"/>
                <w:sz w:val="26"/>
                <w:szCs w:val="26"/>
                <w:lang w:val="vi-VN" w:eastAsia="vi-VN"/>
              </w:rPr>
            </w:pPr>
            <w:r w:rsidRPr="008669A8">
              <w:rPr>
                <w:rFonts w:asciiTheme="majorHAnsi" w:hAnsiTheme="majorHAnsi" w:cstheme="majorHAnsi"/>
                <w:color w:val="000000"/>
                <w:sz w:val="26"/>
                <w:szCs w:val="26"/>
                <w:lang w:val="vi-VN"/>
              </w:rPr>
              <w:t xml:space="preserve">- </w:t>
            </w:r>
            <w:r w:rsidRPr="008669A8">
              <w:rPr>
                <w:rFonts w:asciiTheme="majorHAnsi" w:hAnsiTheme="majorHAnsi" w:cstheme="majorHAnsi"/>
                <w:sz w:val="26"/>
                <w:szCs w:val="26"/>
                <w:lang w:val="vi-VN" w:eastAsia="vi-VN"/>
              </w:rPr>
              <w:t xml:space="preserve">Không đáp ứng về chủng loại, số lượng  theo yêu cầu </w:t>
            </w:r>
            <w:r w:rsidRPr="008669A8">
              <w:rPr>
                <w:rFonts w:asciiTheme="majorHAnsi" w:hAnsiTheme="majorHAnsi" w:cstheme="majorHAnsi"/>
                <w:sz w:val="26"/>
                <w:szCs w:val="26"/>
                <w:lang w:val="vi-VN"/>
              </w:rPr>
              <w:t xml:space="preserve">tại </w:t>
            </w:r>
            <w:r w:rsidRPr="008669A8">
              <w:rPr>
                <w:rFonts w:asciiTheme="majorHAnsi" w:hAnsiTheme="majorHAnsi" w:cstheme="majorHAnsi"/>
                <w:sz w:val="26"/>
                <w:szCs w:val="26"/>
                <w:lang w:val="vi-VN" w:eastAsia="vi-VN"/>
              </w:rPr>
              <w:t>Bảng số 01B. Phạm vi cung cấp hàng hóa. Hàng hóa không nêu tên nhà sản xuất, nguồn gốc xuất xứ theo yêu cầu.</w:t>
            </w:r>
          </w:p>
          <w:p w14:paraId="62443FDD" w14:textId="77777777" w:rsidR="00CE26E2" w:rsidRPr="008669A8" w:rsidRDefault="00CE26E2" w:rsidP="008669A8">
            <w:pPr>
              <w:widowControl w:val="0"/>
              <w:rPr>
                <w:rFonts w:asciiTheme="majorHAnsi" w:hAnsiTheme="majorHAnsi" w:cstheme="majorHAnsi"/>
                <w:b/>
                <w:bCs/>
                <w:sz w:val="26"/>
                <w:szCs w:val="26"/>
                <w:lang w:val="vi-VN" w:eastAsia="vi-VN"/>
              </w:rPr>
            </w:pPr>
            <w:r w:rsidRPr="008669A8">
              <w:rPr>
                <w:rFonts w:asciiTheme="majorHAnsi" w:hAnsiTheme="majorHAnsi" w:cstheme="majorHAnsi"/>
                <w:color w:val="000000"/>
                <w:sz w:val="26"/>
                <w:szCs w:val="26"/>
                <w:lang w:val="vi-VN"/>
              </w:rPr>
              <w:t>- Thông số kỹ thuật, tiêu chuẩn không đáp ứng yêu cầu của E-HSMT</w:t>
            </w:r>
          </w:p>
        </w:tc>
        <w:tc>
          <w:tcPr>
            <w:tcW w:w="557" w:type="pct"/>
            <w:vAlign w:val="center"/>
          </w:tcPr>
          <w:p w14:paraId="6F52DE1E" w14:textId="77777777" w:rsidR="00CE26E2" w:rsidRPr="008669A8" w:rsidRDefault="00CE26E2" w:rsidP="008669A8">
            <w:pPr>
              <w:widowControl w:val="0"/>
              <w:jc w:val="center"/>
              <w:rPr>
                <w:rFonts w:asciiTheme="majorHAnsi" w:hAnsiTheme="majorHAnsi" w:cstheme="majorHAnsi"/>
                <w:b/>
                <w:bCs/>
                <w:sz w:val="26"/>
                <w:szCs w:val="26"/>
                <w:lang w:val="vi-VN" w:eastAsia="vi-VN"/>
              </w:rPr>
            </w:pPr>
            <w:r w:rsidRPr="008669A8">
              <w:rPr>
                <w:rFonts w:asciiTheme="majorHAnsi" w:hAnsiTheme="majorHAnsi" w:cstheme="majorHAnsi"/>
                <w:b/>
                <w:sz w:val="26"/>
                <w:szCs w:val="26"/>
                <w:lang w:eastAsia="vi-VN"/>
              </w:rPr>
              <w:t>Không đạt</w:t>
            </w:r>
          </w:p>
        </w:tc>
      </w:tr>
      <w:tr w:rsidR="00CE26E2" w:rsidRPr="008669A8" w14:paraId="531D7C4B" w14:textId="77777777" w:rsidTr="008669A8">
        <w:trPr>
          <w:trHeight w:val="553"/>
        </w:trPr>
        <w:tc>
          <w:tcPr>
            <w:tcW w:w="5000" w:type="pct"/>
            <w:gridSpan w:val="3"/>
            <w:vAlign w:val="center"/>
            <w:hideMark/>
          </w:tcPr>
          <w:p w14:paraId="6C5D51F1" w14:textId="77777777" w:rsidR="00CE26E2" w:rsidRPr="008669A8" w:rsidRDefault="00CE26E2" w:rsidP="008669A8">
            <w:pPr>
              <w:widowControl w:val="0"/>
              <w:rPr>
                <w:rFonts w:asciiTheme="majorHAnsi" w:hAnsiTheme="majorHAnsi" w:cstheme="majorHAnsi"/>
                <w:b/>
                <w:sz w:val="26"/>
                <w:szCs w:val="26"/>
                <w:lang w:eastAsia="vi-VN"/>
              </w:rPr>
            </w:pPr>
            <w:r w:rsidRPr="008669A8">
              <w:rPr>
                <w:rFonts w:asciiTheme="majorHAnsi" w:hAnsiTheme="majorHAnsi" w:cstheme="majorHAnsi"/>
                <w:b/>
                <w:sz w:val="26"/>
                <w:szCs w:val="26"/>
              </w:rPr>
              <w:t>3. Tiến độ Cung cấp</w:t>
            </w:r>
          </w:p>
        </w:tc>
      </w:tr>
      <w:tr w:rsidR="00CE26E2" w:rsidRPr="008669A8" w14:paraId="72DF0D18" w14:textId="77777777" w:rsidTr="008669A8">
        <w:trPr>
          <w:trHeight w:val="1138"/>
        </w:trPr>
        <w:tc>
          <w:tcPr>
            <w:tcW w:w="840" w:type="pct"/>
            <w:vMerge w:val="restart"/>
            <w:vAlign w:val="center"/>
            <w:hideMark/>
          </w:tcPr>
          <w:p w14:paraId="2D3618E5" w14:textId="77777777" w:rsidR="00CE26E2" w:rsidRPr="008669A8" w:rsidRDefault="00CE26E2" w:rsidP="008669A8">
            <w:pPr>
              <w:ind w:left="104" w:right="166"/>
              <w:textAlignment w:val="baseline"/>
              <w:rPr>
                <w:rFonts w:asciiTheme="majorHAnsi" w:hAnsiTheme="majorHAnsi" w:cstheme="majorHAnsi"/>
                <w:sz w:val="26"/>
                <w:szCs w:val="26"/>
              </w:rPr>
            </w:pPr>
            <w:r w:rsidRPr="008669A8">
              <w:rPr>
                <w:rFonts w:asciiTheme="majorHAnsi" w:hAnsiTheme="majorHAnsi" w:cstheme="majorHAnsi"/>
                <w:sz w:val="26"/>
                <w:szCs w:val="26"/>
              </w:rPr>
              <w:t>Tiến độ cung cấp yêu cầu tại Mẫu số 01B – Phạm vi cung cấp hàng hóa.</w:t>
            </w:r>
          </w:p>
        </w:tc>
        <w:tc>
          <w:tcPr>
            <w:tcW w:w="3603" w:type="pct"/>
            <w:vAlign w:val="center"/>
            <w:hideMark/>
          </w:tcPr>
          <w:p w14:paraId="0F65E641" w14:textId="371468C3" w:rsidR="00CE26E2" w:rsidRPr="008669A8" w:rsidRDefault="00CE26E2" w:rsidP="008669A8">
            <w:pPr>
              <w:widowControl w:val="0"/>
              <w:rPr>
                <w:rFonts w:asciiTheme="majorHAnsi" w:hAnsiTheme="majorHAnsi" w:cstheme="majorHAnsi"/>
                <w:sz w:val="26"/>
                <w:szCs w:val="26"/>
                <w:lang w:eastAsia="vi-VN"/>
              </w:rPr>
            </w:pPr>
            <w:r w:rsidRPr="008669A8">
              <w:rPr>
                <w:rFonts w:asciiTheme="majorHAnsi" w:hAnsiTheme="majorHAnsi" w:cstheme="majorHAnsi"/>
                <w:sz w:val="26"/>
                <w:szCs w:val="26"/>
                <w:lang w:eastAsia="vi-VN"/>
              </w:rPr>
              <w:t xml:space="preserve">Tiến độ cung cấp nhà thầu đề xuất ≤ </w:t>
            </w:r>
            <w:r w:rsidR="00571BE8" w:rsidRPr="00571BE8">
              <w:rPr>
                <w:rFonts w:asciiTheme="majorHAnsi" w:hAnsiTheme="majorHAnsi" w:cstheme="majorHAnsi"/>
                <w:sz w:val="26"/>
                <w:szCs w:val="26"/>
                <w:lang w:eastAsia="vi-VN"/>
              </w:rPr>
              <w:t xml:space="preserve"> 12 tháng </w:t>
            </w:r>
            <w:r w:rsidRPr="008669A8">
              <w:rPr>
                <w:rFonts w:asciiTheme="majorHAnsi" w:hAnsiTheme="majorHAnsi" w:cstheme="majorHAnsi"/>
                <w:sz w:val="26"/>
                <w:szCs w:val="26"/>
                <w:lang w:eastAsia="vi-VN"/>
              </w:rPr>
              <w:t xml:space="preserve"> kể từ ngày kí hợp đồng.</w:t>
            </w:r>
          </w:p>
          <w:p w14:paraId="533F1604" w14:textId="06BEEB26" w:rsidR="00CE26E2" w:rsidRPr="008669A8" w:rsidRDefault="00CE26E2" w:rsidP="008669A8">
            <w:pPr>
              <w:autoSpaceDE w:val="0"/>
              <w:autoSpaceDN w:val="0"/>
              <w:adjustRightInd w:val="0"/>
              <w:rPr>
                <w:rFonts w:asciiTheme="majorHAnsi" w:hAnsiTheme="majorHAnsi" w:cstheme="majorHAnsi"/>
                <w:color w:val="000000"/>
                <w:sz w:val="26"/>
                <w:szCs w:val="26"/>
                <w:lang w:eastAsia="vi-VN"/>
              </w:rPr>
            </w:pPr>
            <w:r w:rsidRPr="008669A8">
              <w:rPr>
                <w:rFonts w:asciiTheme="majorHAnsi" w:hAnsiTheme="majorHAnsi" w:cstheme="majorHAnsi"/>
                <w:color w:val="000000"/>
                <w:sz w:val="26"/>
                <w:szCs w:val="26"/>
                <w:lang w:eastAsia="vi-VN"/>
              </w:rPr>
              <w:t>Nhà thầu g</w:t>
            </w:r>
            <w:r w:rsidRPr="008669A8">
              <w:rPr>
                <w:rFonts w:asciiTheme="majorHAnsi" w:hAnsiTheme="majorHAnsi" w:cstheme="majorHAnsi"/>
                <w:color w:val="000000"/>
                <w:sz w:val="26"/>
                <w:szCs w:val="26"/>
                <w:lang w:val="vi-VN" w:eastAsia="vi-VN"/>
              </w:rPr>
              <w:t>iao hàng từng đợt theo yêu cầu của Chủ đầu tư.</w:t>
            </w:r>
          </w:p>
          <w:p w14:paraId="363C7F74" w14:textId="77777777" w:rsidR="00CE26E2" w:rsidRPr="008669A8" w:rsidRDefault="00CE26E2" w:rsidP="008669A8">
            <w:pPr>
              <w:autoSpaceDE w:val="0"/>
              <w:autoSpaceDN w:val="0"/>
              <w:adjustRightInd w:val="0"/>
              <w:rPr>
                <w:rFonts w:asciiTheme="majorHAnsi" w:hAnsiTheme="majorHAnsi" w:cstheme="majorHAnsi"/>
                <w:color w:val="000000"/>
                <w:sz w:val="26"/>
                <w:szCs w:val="26"/>
                <w:lang w:eastAsia="vi-VN"/>
              </w:rPr>
            </w:pPr>
            <w:r w:rsidRPr="008669A8">
              <w:rPr>
                <w:rFonts w:asciiTheme="majorHAnsi" w:hAnsiTheme="majorHAnsi" w:cstheme="majorHAnsi"/>
                <w:color w:val="000000"/>
                <w:sz w:val="26"/>
                <w:szCs w:val="26"/>
                <w:lang w:val="vi-VN" w:eastAsia="vi-VN"/>
              </w:rPr>
              <w:t xml:space="preserve">Cam kết giao hàng trong vòng 72 giờ sau khi nhận được đơn đặt hàng từ </w:t>
            </w:r>
            <w:r w:rsidRPr="008669A8">
              <w:rPr>
                <w:rFonts w:asciiTheme="majorHAnsi" w:hAnsiTheme="majorHAnsi" w:cstheme="majorHAnsi"/>
                <w:color w:val="000000"/>
                <w:sz w:val="26"/>
                <w:szCs w:val="26"/>
                <w:lang w:eastAsia="vi-VN"/>
              </w:rPr>
              <w:t>Chủ đầu tư</w:t>
            </w:r>
            <w:r w:rsidRPr="008669A8">
              <w:rPr>
                <w:rFonts w:asciiTheme="majorHAnsi" w:hAnsiTheme="majorHAnsi" w:cstheme="majorHAnsi"/>
                <w:color w:val="000000"/>
                <w:sz w:val="26"/>
                <w:szCs w:val="26"/>
                <w:lang w:val="vi-VN" w:eastAsia="vi-VN"/>
              </w:rPr>
              <w:t>.</w:t>
            </w:r>
          </w:p>
        </w:tc>
        <w:tc>
          <w:tcPr>
            <w:tcW w:w="557" w:type="pct"/>
            <w:vAlign w:val="center"/>
            <w:hideMark/>
          </w:tcPr>
          <w:p w14:paraId="49F2637A" w14:textId="77777777" w:rsidR="00CE26E2" w:rsidRPr="008669A8" w:rsidRDefault="00CE26E2" w:rsidP="008669A8">
            <w:pPr>
              <w:widowControl w:val="0"/>
              <w:jc w:val="center"/>
              <w:rPr>
                <w:rFonts w:asciiTheme="majorHAnsi" w:hAnsiTheme="majorHAnsi" w:cstheme="majorHAnsi"/>
                <w:b/>
                <w:sz w:val="26"/>
                <w:szCs w:val="26"/>
              </w:rPr>
            </w:pPr>
            <w:r w:rsidRPr="008669A8">
              <w:rPr>
                <w:rFonts w:asciiTheme="majorHAnsi" w:hAnsiTheme="majorHAnsi" w:cstheme="majorHAnsi"/>
                <w:b/>
                <w:sz w:val="26"/>
                <w:szCs w:val="26"/>
              </w:rPr>
              <w:t>Đạt</w:t>
            </w:r>
          </w:p>
        </w:tc>
      </w:tr>
      <w:tr w:rsidR="00CE26E2" w:rsidRPr="008669A8" w14:paraId="768465B7" w14:textId="77777777" w:rsidTr="008669A8">
        <w:trPr>
          <w:trHeight w:val="1125"/>
        </w:trPr>
        <w:tc>
          <w:tcPr>
            <w:tcW w:w="840" w:type="pct"/>
            <w:vMerge/>
            <w:vAlign w:val="center"/>
            <w:hideMark/>
          </w:tcPr>
          <w:p w14:paraId="72064063" w14:textId="77777777" w:rsidR="00CE26E2" w:rsidRPr="008669A8" w:rsidRDefault="00CE26E2" w:rsidP="008669A8">
            <w:pPr>
              <w:rPr>
                <w:rFonts w:asciiTheme="majorHAnsi" w:hAnsiTheme="majorHAnsi" w:cstheme="majorHAnsi"/>
                <w:sz w:val="26"/>
                <w:szCs w:val="26"/>
                <w:lang w:val="vi-VN"/>
              </w:rPr>
            </w:pPr>
          </w:p>
        </w:tc>
        <w:tc>
          <w:tcPr>
            <w:tcW w:w="3603" w:type="pct"/>
            <w:vAlign w:val="center"/>
            <w:hideMark/>
          </w:tcPr>
          <w:p w14:paraId="74E0FABE" w14:textId="0D1F2979" w:rsidR="00CE26E2" w:rsidRPr="008669A8" w:rsidRDefault="00CE26E2" w:rsidP="008669A8">
            <w:pPr>
              <w:widowControl w:val="0"/>
              <w:rPr>
                <w:rFonts w:asciiTheme="majorHAnsi" w:hAnsiTheme="majorHAnsi" w:cstheme="majorHAnsi"/>
                <w:sz w:val="26"/>
                <w:szCs w:val="26"/>
                <w:lang w:val="vi-VN" w:eastAsia="vi-VN"/>
              </w:rPr>
            </w:pPr>
            <w:r w:rsidRPr="008669A8">
              <w:rPr>
                <w:rFonts w:asciiTheme="majorHAnsi" w:hAnsiTheme="majorHAnsi" w:cstheme="majorHAnsi"/>
                <w:sz w:val="26"/>
                <w:szCs w:val="26"/>
                <w:lang w:val="vi-VN" w:eastAsia="vi-VN"/>
              </w:rPr>
              <w:t xml:space="preserve">Tiến độ cung cấp nhà thầu đề xuất &gt; </w:t>
            </w:r>
            <w:r w:rsidR="00571BE8" w:rsidRPr="00571BE8">
              <w:rPr>
                <w:rFonts w:asciiTheme="majorHAnsi" w:hAnsiTheme="majorHAnsi" w:cstheme="majorHAnsi"/>
                <w:sz w:val="26"/>
                <w:szCs w:val="26"/>
                <w:lang w:val="vi-VN" w:eastAsia="vi-VN"/>
              </w:rPr>
              <w:t xml:space="preserve"> 12 tháng</w:t>
            </w:r>
            <w:r w:rsidRPr="008669A8">
              <w:rPr>
                <w:rFonts w:asciiTheme="majorHAnsi" w:hAnsiTheme="majorHAnsi" w:cstheme="majorHAnsi"/>
                <w:sz w:val="26"/>
                <w:szCs w:val="26"/>
                <w:lang w:val="vi-VN" w:eastAsia="vi-VN"/>
              </w:rPr>
              <w:t xml:space="preserve"> kể từ ngày kí hợp đồng</w:t>
            </w:r>
          </w:p>
          <w:p w14:paraId="760030B3" w14:textId="654FC5A1" w:rsidR="00CE26E2" w:rsidRPr="008669A8" w:rsidRDefault="00CE26E2" w:rsidP="008669A8">
            <w:pPr>
              <w:autoSpaceDE w:val="0"/>
              <w:autoSpaceDN w:val="0"/>
              <w:adjustRightInd w:val="0"/>
              <w:rPr>
                <w:rFonts w:asciiTheme="majorHAnsi" w:hAnsiTheme="majorHAnsi" w:cstheme="majorHAnsi"/>
                <w:color w:val="000000"/>
                <w:sz w:val="26"/>
                <w:szCs w:val="26"/>
                <w:lang w:val="vi-VN" w:eastAsia="vi-VN"/>
              </w:rPr>
            </w:pPr>
            <w:r w:rsidRPr="008669A8">
              <w:rPr>
                <w:rFonts w:asciiTheme="majorHAnsi" w:hAnsiTheme="majorHAnsi" w:cstheme="majorHAnsi"/>
                <w:color w:val="000000"/>
                <w:sz w:val="26"/>
                <w:szCs w:val="26"/>
                <w:lang w:val="vi-VN" w:eastAsia="vi-VN"/>
              </w:rPr>
              <w:t>Nhà thầu không thực hiện giao hàng từng đợt theo yêu cầu của Chủ đầu tư.</w:t>
            </w:r>
          </w:p>
          <w:p w14:paraId="00592F9A" w14:textId="77777777" w:rsidR="00CE26E2" w:rsidRPr="008669A8" w:rsidRDefault="00CE26E2" w:rsidP="008669A8">
            <w:pPr>
              <w:widowControl w:val="0"/>
              <w:rPr>
                <w:rFonts w:asciiTheme="majorHAnsi" w:hAnsiTheme="majorHAnsi" w:cstheme="majorHAnsi"/>
                <w:sz w:val="26"/>
                <w:szCs w:val="26"/>
                <w:lang w:val="vi-VN"/>
              </w:rPr>
            </w:pPr>
            <w:r w:rsidRPr="008669A8">
              <w:rPr>
                <w:rFonts w:asciiTheme="majorHAnsi" w:hAnsiTheme="majorHAnsi" w:cstheme="majorHAnsi"/>
                <w:color w:val="000000"/>
                <w:sz w:val="26"/>
                <w:szCs w:val="26"/>
                <w:lang w:val="vi-VN" w:eastAsia="vi-VN"/>
              </w:rPr>
              <w:t>Không cam kết giao hàng trong vòng 72 giờ sau khi nhận được đơn đặt hàng từ Chủ đầu tư.</w:t>
            </w:r>
          </w:p>
        </w:tc>
        <w:tc>
          <w:tcPr>
            <w:tcW w:w="557" w:type="pct"/>
            <w:vAlign w:val="center"/>
            <w:hideMark/>
          </w:tcPr>
          <w:p w14:paraId="7883E210" w14:textId="77777777" w:rsidR="00CE26E2" w:rsidRPr="008669A8" w:rsidRDefault="00CE26E2" w:rsidP="008669A8">
            <w:pPr>
              <w:widowControl w:val="0"/>
              <w:jc w:val="center"/>
              <w:rPr>
                <w:rFonts w:asciiTheme="majorHAnsi" w:hAnsiTheme="majorHAnsi" w:cstheme="majorHAnsi"/>
                <w:b/>
                <w:sz w:val="26"/>
                <w:szCs w:val="26"/>
                <w:lang w:eastAsia="vi-VN"/>
              </w:rPr>
            </w:pPr>
            <w:r w:rsidRPr="008669A8">
              <w:rPr>
                <w:rFonts w:asciiTheme="majorHAnsi" w:hAnsiTheme="majorHAnsi" w:cstheme="majorHAnsi"/>
                <w:b/>
                <w:sz w:val="26"/>
                <w:szCs w:val="26"/>
                <w:lang w:eastAsia="vi-VN"/>
              </w:rPr>
              <w:t>Không đạt</w:t>
            </w:r>
          </w:p>
        </w:tc>
      </w:tr>
      <w:tr w:rsidR="00CE26E2" w:rsidRPr="008669A8" w14:paraId="657DB444" w14:textId="77777777" w:rsidTr="008669A8">
        <w:trPr>
          <w:trHeight w:val="708"/>
        </w:trPr>
        <w:tc>
          <w:tcPr>
            <w:tcW w:w="840" w:type="pct"/>
            <w:vMerge w:val="restart"/>
            <w:vAlign w:val="center"/>
          </w:tcPr>
          <w:p w14:paraId="503F06E7" w14:textId="77777777" w:rsidR="00CE26E2" w:rsidRPr="008669A8" w:rsidRDefault="00CE26E2" w:rsidP="008669A8">
            <w:pPr>
              <w:spacing w:line="264" w:lineRule="auto"/>
              <w:rPr>
                <w:rFonts w:asciiTheme="majorHAnsi" w:hAnsiTheme="majorHAnsi" w:cstheme="majorHAnsi"/>
                <w:b/>
                <w:sz w:val="26"/>
                <w:szCs w:val="26"/>
                <w:lang w:val="nl-NL"/>
              </w:rPr>
            </w:pPr>
            <w:r w:rsidRPr="008669A8">
              <w:rPr>
                <w:rFonts w:asciiTheme="majorHAnsi" w:hAnsiTheme="majorHAnsi" w:cstheme="majorHAnsi"/>
                <w:b/>
                <w:sz w:val="26"/>
                <w:szCs w:val="26"/>
              </w:rPr>
              <w:t>4</w:t>
            </w:r>
            <w:r w:rsidRPr="008669A8">
              <w:rPr>
                <w:rFonts w:asciiTheme="majorHAnsi" w:hAnsiTheme="majorHAnsi" w:cstheme="majorHAnsi"/>
                <w:b/>
                <w:sz w:val="26"/>
                <w:szCs w:val="26"/>
                <w:lang w:eastAsia="vi-VN"/>
              </w:rPr>
              <w:t>. Các nội dung cam kết</w:t>
            </w:r>
          </w:p>
        </w:tc>
        <w:tc>
          <w:tcPr>
            <w:tcW w:w="3603" w:type="pct"/>
            <w:vAlign w:val="center"/>
          </w:tcPr>
          <w:p w14:paraId="1CF8BBA3" w14:textId="77777777" w:rsidR="00CE26E2" w:rsidRPr="008669A8" w:rsidRDefault="00CE26E2" w:rsidP="008669A8">
            <w:pPr>
              <w:widowControl w:val="0"/>
              <w:rPr>
                <w:rFonts w:asciiTheme="majorHAnsi" w:hAnsiTheme="majorHAnsi" w:cstheme="majorHAnsi"/>
                <w:sz w:val="26"/>
                <w:szCs w:val="26"/>
                <w:lang w:val="nl-NL" w:eastAsia="vi-VN"/>
              </w:rPr>
            </w:pPr>
            <w:r w:rsidRPr="008669A8">
              <w:rPr>
                <w:rFonts w:asciiTheme="majorHAnsi" w:hAnsiTheme="majorHAnsi" w:cstheme="majorHAnsi"/>
                <w:sz w:val="26"/>
                <w:szCs w:val="26"/>
                <w:lang w:val="nl-NL" w:eastAsia="vi-VN"/>
              </w:rPr>
              <w:t>- Có đầy đủ các nội dung cam kết tại mục Phụ lục 02 được đính kèm dưới dạng file Word tại Chương V. Yêu cầu kỹ thuật</w:t>
            </w:r>
          </w:p>
        </w:tc>
        <w:tc>
          <w:tcPr>
            <w:tcW w:w="557" w:type="pct"/>
            <w:vAlign w:val="center"/>
          </w:tcPr>
          <w:p w14:paraId="0D432F63" w14:textId="77777777" w:rsidR="00CE26E2" w:rsidRPr="008669A8" w:rsidRDefault="00CE26E2" w:rsidP="008669A8">
            <w:pPr>
              <w:widowControl w:val="0"/>
              <w:jc w:val="center"/>
              <w:rPr>
                <w:rFonts w:asciiTheme="majorHAnsi" w:hAnsiTheme="majorHAnsi" w:cstheme="majorHAnsi"/>
                <w:b/>
                <w:sz w:val="26"/>
                <w:szCs w:val="26"/>
                <w:lang w:eastAsia="vi-VN"/>
              </w:rPr>
            </w:pPr>
            <w:r w:rsidRPr="008669A8">
              <w:rPr>
                <w:rFonts w:asciiTheme="majorHAnsi" w:hAnsiTheme="majorHAnsi" w:cstheme="majorHAnsi"/>
                <w:b/>
                <w:sz w:val="26"/>
                <w:szCs w:val="26"/>
              </w:rPr>
              <w:t>Đạt</w:t>
            </w:r>
          </w:p>
        </w:tc>
      </w:tr>
      <w:tr w:rsidR="00CE26E2" w:rsidRPr="008669A8" w14:paraId="203E054B" w14:textId="77777777" w:rsidTr="008669A8">
        <w:trPr>
          <w:trHeight w:val="831"/>
        </w:trPr>
        <w:tc>
          <w:tcPr>
            <w:tcW w:w="840" w:type="pct"/>
            <w:vMerge/>
            <w:vAlign w:val="center"/>
          </w:tcPr>
          <w:p w14:paraId="22798399" w14:textId="77777777" w:rsidR="00CE26E2" w:rsidRPr="008669A8" w:rsidRDefault="00CE26E2" w:rsidP="008669A8">
            <w:pPr>
              <w:spacing w:line="264" w:lineRule="auto"/>
              <w:rPr>
                <w:rFonts w:asciiTheme="majorHAnsi" w:hAnsiTheme="majorHAnsi" w:cstheme="majorHAnsi"/>
                <w:sz w:val="26"/>
                <w:szCs w:val="26"/>
              </w:rPr>
            </w:pPr>
          </w:p>
        </w:tc>
        <w:tc>
          <w:tcPr>
            <w:tcW w:w="3603" w:type="pct"/>
            <w:vAlign w:val="center"/>
          </w:tcPr>
          <w:p w14:paraId="2ABA57D4" w14:textId="77777777" w:rsidR="00CE26E2" w:rsidRPr="008669A8" w:rsidRDefault="00CE26E2" w:rsidP="008669A8">
            <w:pPr>
              <w:spacing w:line="264" w:lineRule="auto"/>
              <w:rPr>
                <w:rFonts w:asciiTheme="majorHAnsi" w:hAnsiTheme="majorHAnsi" w:cstheme="majorHAnsi"/>
                <w:sz w:val="26"/>
                <w:szCs w:val="26"/>
                <w:lang w:eastAsia="vi-VN"/>
              </w:rPr>
            </w:pPr>
            <w:r w:rsidRPr="008669A8">
              <w:rPr>
                <w:rFonts w:asciiTheme="majorHAnsi" w:hAnsiTheme="majorHAnsi" w:cstheme="majorHAnsi"/>
                <w:sz w:val="26"/>
                <w:szCs w:val="26"/>
                <w:lang w:eastAsia="vi-VN"/>
              </w:rPr>
              <w:t>- Không có hoặc có cam kết nhưng không đầy đủ các nội dung cam kết tại mục Phụ lục 02 được đính kèm dưới dạng file Word tại Chương V. Yêu cầu kỹ thuật</w:t>
            </w:r>
          </w:p>
        </w:tc>
        <w:tc>
          <w:tcPr>
            <w:tcW w:w="557" w:type="pct"/>
            <w:vAlign w:val="center"/>
          </w:tcPr>
          <w:p w14:paraId="49C83249" w14:textId="77777777" w:rsidR="00CE26E2" w:rsidRPr="008669A8" w:rsidRDefault="00CE26E2" w:rsidP="008669A8">
            <w:pPr>
              <w:widowControl w:val="0"/>
              <w:jc w:val="center"/>
              <w:rPr>
                <w:rFonts w:asciiTheme="majorHAnsi" w:hAnsiTheme="majorHAnsi" w:cstheme="majorHAnsi"/>
                <w:b/>
                <w:sz w:val="26"/>
                <w:szCs w:val="26"/>
                <w:lang w:eastAsia="vi-VN"/>
              </w:rPr>
            </w:pPr>
            <w:r w:rsidRPr="008669A8">
              <w:rPr>
                <w:rFonts w:asciiTheme="majorHAnsi" w:hAnsiTheme="majorHAnsi" w:cstheme="majorHAnsi"/>
                <w:b/>
                <w:sz w:val="26"/>
                <w:szCs w:val="26"/>
                <w:lang w:eastAsia="vi-VN"/>
              </w:rPr>
              <w:t>Không đạt</w:t>
            </w:r>
          </w:p>
        </w:tc>
      </w:tr>
      <w:tr w:rsidR="008669A8" w:rsidRPr="008669A8" w14:paraId="4F63F850" w14:textId="77777777" w:rsidTr="008669A8">
        <w:trPr>
          <w:trHeight w:val="2543"/>
        </w:trPr>
        <w:tc>
          <w:tcPr>
            <w:tcW w:w="840" w:type="pct"/>
            <w:vMerge w:val="restart"/>
            <w:vAlign w:val="center"/>
          </w:tcPr>
          <w:p w14:paraId="4E060621" w14:textId="161ECA71" w:rsidR="008669A8" w:rsidRPr="008669A8" w:rsidRDefault="008669A8" w:rsidP="008669A8">
            <w:pPr>
              <w:spacing w:line="264" w:lineRule="auto"/>
              <w:rPr>
                <w:rFonts w:asciiTheme="majorHAnsi" w:hAnsiTheme="majorHAnsi" w:cstheme="majorHAnsi"/>
                <w:b/>
                <w:sz w:val="26"/>
                <w:szCs w:val="26"/>
              </w:rPr>
            </w:pPr>
            <w:r w:rsidRPr="008669A8">
              <w:rPr>
                <w:rFonts w:asciiTheme="majorHAnsi" w:hAnsiTheme="majorHAnsi" w:cstheme="majorHAnsi"/>
                <w:b/>
                <w:sz w:val="26"/>
                <w:szCs w:val="26"/>
              </w:rPr>
              <w:lastRenderedPageBreak/>
              <w:t xml:space="preserve">5.  Uy tín của nhà thầu thông qua việc thực hiện các hợp đồng trong thời gian từ ngày 01/01/2022 trở lại đây tính đến thời điểm đóng thầu. </w:t>
            </w:r>
            <w:r w:rsidRPr="008669A8">
              <w:rPr>
                <w:rFonts w:asciiTheme="majorHAnsi" w:hAnsiTheme="majorHAnsi" w:cstheme="majorHAnsi"/>
                <w:bCs/>
                <w:i/>
                <w:iCs/>
                <w:sz w:val="26"/>
                <w:szCs w:val="26"/>
              </w:rPr>
              <w:t>(Nhà thầu gửi kèm bản cam kết, trường hợp cam kết không trung thực sẽ bị đánh giá là gian lận).</w:t>
            </w:r>
          </w:p>
        </w:tc>
        <w:tc>
          <w:tcPr>
            <w:tcW w:w="3603" w:type="pct"/>
            <w:vAlign w:val="center"/>
          </w:tcPr>
          <w:p w14:paraId="70E9EC21" w14:textId="1C470D0F" w:rsidR="00571BE8" w:rsidRPr="00571BE8" w:rsidRDefault="008669A8" w:rsidP="00571BE8">
            <w:pPr>
              <w:autoSpaceDE w:val="0"/>
              <w:autoSpaceDN w:val="0"/>
              <w:adjustRightInd w:val="0"/>
              <w:rPr>
                <w:rFonts w:asciiTheme="majorHAnsi" w:hAnsiTheme="majorHAnsi" w:cstheme="majorHAnsi"/>
                <w:color w:val="000000"/>
                <w:sz w:val="26"/>
                <w:szCs w:val="26"/>
                <w:lang w:eastAsia="vi-VN"/>
              </w:rPr>
            </w:pPr>
            <w:r w:rsidRPr="008669A8">
              <w:rPr>
                <w:rFonts w:asciiTheme="majorHAnsi" w:hAnsiTheme="majorHAnsi" w:cstheme="majorHAnsi"/>
                <w:color w:val="000000"/>
                <w:sz w:val="26"/>
                <w:szCs w:val="26"/>
                <w:lang w:val="vi-VN" w:eastAsia="vi-VN"/>
              </w:rPr>
              <w:t xml:space="preserve">- </w:t>
            </w:r>
            <w:r w:rsidR="00571BE8" w:rsidRPr="00571BE8">
              <w:rPr>
                <w:rFonts w:asciiTheme="majorHAnsi" w:hAnsiTheme="majorHAnsi" w:cstheme="majorHAnsi"/>
                <w:color w:val="000000"/>
                <w:sz w:val="26"/>
                <w:szCs w:val="26"/>
                <w:lang w:val="vi-VN" w:eastAsia="vi-VN"/>
              </w:rPr>
              <w:t>Không vi phạm bất kỳ hành vi nào theo quy định tại Điều 19 và Điều 20 Nghị định số 214/2025/NĐ-CP</w:t>
            </w:r>
            <w:r w:rsidR="00571BE8">
              <w:rPr>
                <w:rFonts w:asciiTheme="majorHAnsi" w:hAnsiTheme="majorHAnsi" w:cstheme="majorHAnsi"/>
                <w:color w:val="000000"/>
                <w:sz w:val="26"/>
                <w:szCs w:val="26"/>
                <w:lang w:eastAsia="vi-VN"/>
              </w:rPr>
              <w:t>.</w:t>
            </w:r>
          </w:p>
          <w:p w14:paraId="41CCAE9F" w14:textId="138A1DF6" w:rsidR="008669A8" w:rsidRPr="008669A8" w:rsidRDefault="00571BE8" w:rsidP="008669A8">
            <w:pPr>
              <w:autoSpaceDE w:val="0"/>
              <w:autoSpaceDN w:val="0"/>
              <w:adjustRightInd w:val="0"/>
              <w:rPr>
                <w:rFonts w:asciiTheme="majorHAnsi" w:hAnsiTheme="majorHAnsi" w:cstheme="majorHAnsi"/>
                <w:color w:val="000000"/>
                <w:sz w:val="26"/>
                <w:szCs w:val="26"/>
                <w:lang w:val="vi-VN" w:eastAsia="vi-VN"/>
              </w:rPr>
            </w:pPr>
            <w:r>
              <w:rPr>
                <w:rFonts w:asciiTheme="majorHAnsi" w:hAnsiTheme="majorHAnsi" w:cstheme="majorHAnsi"/>
                <w:color w:val="000000"/>
                <w:sz w:val="26"/>
                <w:szCs w:val="26"/>
                <w:lang w:eastAsia="vi-VN"/>
              </w:rPr>
              <w:t xml:space="preserve">- </w:t>
            </w:r>
            <w:r w:rsidR="008669A8" w:rsidRPr="008669A8">
              <w:rPr>
                <w:rFonts w:asciiTheme="majorHAnsi" w:hAnsiTheme="majorHAnsi" w:cstheme="majorHAnsi"/>
                <w:color w:val="000000"/>
                <w:sz w:val="26"/>
                <w:szCs w:val="26"/>
                <w:lang w:val="vi-VN" w:eastAsia="vi-VN"/>
              </w:rPr>
              <w:t>Không có hợp đồng chậm tiến độ bị chủ đầu tư xử phạt vi phạm hợp đồng.</w:t>
            </w:r>
          </w:p>
          <w:p w14:paraId="6453E745" w14:textId="77777777" w:rsidR="008669A8" w:rsidRPr="008669A8" w:rsidRDefault="008669A8" w:rsidP="008669A8">
            <w:pPr>
              <w:autoSpaceDE w:val="0"/>
              <w:autoSpaceDN w:val="0"/>
              <w:adjustRightInd w:val="0"/>
              <w:rPr>
                <w:rFonts w:asciiTheme="majorHAnsi" w:hAnsiTheme="majorHAnsi" w:cstheme="majorHAnsi"/>
                <w:color w:val="000000"/>
                <w:sz w:val="26"/>
                <w:szCs w:val="26"/>
                <w:lang w:val="vi-VN" w:eastAsia="vi-VN"/>
              </w:rPr>
            </w:pPr>
            <w:r w:rsidRPr="008669A8">
              <w:rPr>
                <w:rFonts w:asciiTheme="majorHAnsi" w:hAnsiTheme="majorHAnsi" w:cstheme="majorHAnsi"/>
                <w:color w:val="000000"/>
                <w:sz w:val="26"/>
                <w:szCs w:val="26"/>
                <w:lang w:val="vi-VN" w:eastAsia="vi-VN"/>
              </w:rPr>
              <w:t>- Không bị Chủ đầu tư ra Quyết định chấm dứt nghĩa vụ thực hiện hợp đồng do nguyên nhân chủ quan/khách quan từ phía nhà thầu.</w:t>
            </w:r>
          </w:p>
          <w:p w14:paraId="01DC3649" w14:textId="77777777" w:rsidR="008669A8" w:rsidRPr="008669A8" w:rsidRDefault="008669A8" w:rsidP="008669A8">
            <w:pPr>
              <w:autoSpaceDE w:val="0"/>
              <w:autoSpaceDN w:val="0"/>
              <w:adjustRightInd w:val="0"/>
              <w:rPr>
                <w:rFonts w:asciiTheme="majorHAnsi" w:hAnsiTheme="majorHAnsi" w:cstheme="majorHAnsi"/>
                <w:color w:val="000000"/>
                <w:sz w:val="26"/>
                <w:szCs w:val="26"/>
                <w:lang w:val="vi-VN" w:eastAsia="vi-VN"/>
              </w:rPr>
            </w:pPr>
            <w:r w:rsidRPr="008669A8">
              <w:rPr>
                <w:rFonts w:asciiTheme="majorHAnsi" w:hAnsiTheme="majorHAnsi" w:cstheme="majorHAnsi"/>
                <w:color w:val="000000"/>
                <w:sz w:val="26"/>
                <w:szCs w:val="26"/>
                <w:lang w:val="vi-VN" w:eastAsia="vi-VN"/>
              </w:rPr>
              <w:t>- Không có hợp đồng bỏ dở do lỗi của nhà thầu.</w:t>
            </w:r>
          </w:p>
          <w:p w14:paraId="5825FDF2" w14:textId="1E2DDCC1" w:rsidR="008669A8" w:rsidRPr="008669A8" w:rsidRDefault="008669A8" w:rsidP="008669A8">
            <w:pPr>
              <w:autoSpaceDE w:val="0"/>
              <w:autoSpaceDN w:val="0"/>
              <w:adjustRightInd w:val="0"/>
              <w:textAlignment w:val="baseline"/>
              <w:rPr>
                <w:rFonts w:asciiTheme="majorHAnsi" w:hAnsiTheme="majorHAnsi" w:cstheme="majorHAnsi"/>
                <w:color w:val="000000"/>
                <w:sz w:val="26"/>
                <w:szCs w:val="26"/>
                <w:lang w:val="vi-VN" w:eastAsia="vi-VN"/>
              </w:rPr>
            </w:pPr>
            <w:r w:rsidRPr="008669A8">
              <w:rPr>
                <w:rFonts w:asciiTheme="majorHAnsi" w:hAnsiTheme="majorHAnsi" w:cstheme="majorHAnsi"/>
                <w:color w:val="000000"/>
                <w:sz w:val="26"/>
                <w:szCs w:val="26"/>
                <w:lang w:val="vi-VN" w:eastAsia="vi-VN"/>
              </w:rPr>
              <w:t>- Không có hợp đồng bị xử lý vi phạm (Tiêu chí này được đánh giá trong thời gian 03 năm gần đây, tính đến thời điểm đóng thầu và dựa trên thông tin công bố tại hệ thống mạng đấu thầu quốc gia  (https://muasamcong.gov.vn/)   và các nguồn thông tin khác tính đến thời điểm đóng thầu.)</w:t>
            </w:r>
          </w:p>
        </w:tc>
        <w:tc>
          <w:tcPr>
            <w:tcW w:w="557" w:type="pct"/>
            <w:vAlign w:val="center"/>
          </w:tcPr>
          <w:p w14:paraId="448C2493" w14:textId="09D769AC" w:rsidR="008669A8" w:rsidRPr="008669A8" w:rsidRDefault="008669A8" w:rsidP="008669A8">
            <w:pPr>
              <w:ind w:left="104"/>
              <w:jc w:val="center"/>
              <w:textAlignment w:val="baseline"/>
              <w:rPr>
                <w:rFonts w:asciiTheme="majorHAnsi" w:hAnsiTheme="majorHAnsi" w:cstheme="majorHAnsi"/>
                <w:b/>
                <w:bCs/>
                <w:sz w:val="26"/>
                <w:szCs w:val="26"/>
                <w:lang w:val="vi-VN" w:eastAsia="vi-VN"/>
              </w:rPr>
            </w:pPr>
            <w:r w:rsidRPr="008669A8">
              <w:rPr>
                <w:rFonts w:asciiTheme="majorHAnsi" w:hAnsiTheme="majorHAnsi" w:cstheme="majorHAnsi"/>
                <w:b/>
                <w:sz w:val="26"/>
                <w:szCs w:val="26"/>
              </w:rPr>
              <w:t>Đạt</w:t>
            </w:r>
          </w:p>
        </w:tc>
      </w:tr>
      <w:tr w:rsidR="008669A8" w:rsidRPr="008669A8" w14:paraId="62D9184F" w14:textId="77777777" w:rsidTr="008669A8">
        <w:trPr>
          <w:trHeight w:val="2266"/>
        </w:trPr>
        <w:tc>
          <w:tcPr>
            <w:tcW w:w="840" w:type="pct"/>
            <w:vMerge/>
            <w:vAlign w:val="center"/>
          </w:tcPr>
          <w:p w14:paraId="3D654552" w14:textId="77777777" w:rsidR="008669A8" w:rsidRPr="008669A8" w:rsidRDefault="008669A8" w:rsidP="008669A8">
            <w:pPr>
              <w:ind w:left="104"/>
              <w:jc w:val="center"/>
              <w:textAlignment w:val="baseline"/>
              <w:rPr>
                <w:rFonts w:asciiTheme="majorHAnsi" w:hAnsiTheme="majorHAnsi" w:cstheme="majorHAnsi"/>
                <w:b/>
                <w:bCs/>
                <w:sz w:val="26"/>
                <w:szCs w:val="26"/>
                <w:lang w:val="vi-VN" w:eastAsia="vi-VN"/>
              </w:rPr>
            </w:pPr>
          </w:p>
        </w:tc>
        <w:tc>
          <w:tcPr>
            <w:tcW w:w="3603" w:type="pct"/>
            <w:vAlign w:val="center"/>
          </w:tcPr>
          <w:p w14:paraId="58A3C673" w14:textId="4A218F96" w:rsidR="00571BE8" w:rsidRPr="00571BE8" w:rsidRDefault="008669A8" w:rsidP="00571BE8">
            <w:pPr>
              <w:autoSpaceDE w:val="0"/>
              <w:autoSpaceDN w:val="0"/>
              <w:adjustRightInd w:val="0"/>
              <w:rPr>
                <w:rFonts w:asciiTheme="majorHAnsi" w:hAnsiTheme="majorHAnsi" w:cstheme="majorHAnsi"/>
                <w:color w:val="000000"/>
                <w:sz w:val="26"/>
                <w:szCs w:val="26"/>
                <w:lang w:val="vi-VN" w:eastAsia="vi-VN"/>
              </w:rPr>
            </w:pPr>
            <w:r w:rsidRPr="008669A8">
              <w:rPr>
                <w:rFonts w:asciiTheme="majorHAnsi" w:hAnsiTheme="majorHAnsi" w:cstheme="majorHAnsi"/>
                <w:color w:val="000000"/>
                <w:sz w:val="26"/>
                <w:szCs w:val="26"/>
                <w:lang w:val="vi-VN" w:eastAsia="vi-VN"/>
              </w:rPr>
              <w:t xml:space="preserve">- </w:t>
            </w:r>
            <w:r w:rsidR="00571BE8" w:rsidRPr="00571BE8">
              <w:rPr>
                <w:rFonts w:asciiTheme="majorHAnsi" w:hAnsiTheme="majorHAnsi" w:cstheme="majorHAnsi"/>
                <w:color w:val="000000"/>
                <w:sz w:val="26"/>
                <w:szCs w:val="26"/>
                <w:lang w:val="vi-VN" w:eastAsia="vi-VN"/>
              </w:rPr>
              <w:t xml:space="preserve">Nhà thầu không có cam kết hoặc cam kết nhưng không đúng sự thật (không trung thực), </w:t>
            </w:r>
          </w:p>
          <w:p w14:paraId="05ACB517" w14:textId="65911EC3" w:rsidR="00571BE8" w:rsidRPr="00571BE8" w:rsidRDefault="00571BE8" w:rsidP="00571BE8">
            <w:pPr>
              <w:autoSpaceDE w:val="0"/>
              <w:autoSpaceDN w:val="0"/>
              <w:adjustRightInd w:val="0"/>
              <w:rPr>
                <w:rFonts w:asciiTheme="majorHAnsi" w:hAnsiTheme="majorHAnsi" w:cstheme="majorHAnsi"/>
                <w:color w:val="000000"/>
                <w:sz w:val="26"/>
                <w:szCs w:val="26"/>
                <w:lang w:eastAsia="vi-VN"/>
              </w:rPr>
            </w:pPr>
            <w:r w:rsidRPr="00571BE8">
              <w:rPr>
                <w:rFonts w:asciiTheme="majorHAnsi" w:hAnsiTheme="majorHAnsi" w:cstheme="majorHAnsi"/>
                <w:color w:val="000000"/>
                <w:sz w:val="26"/>
                <w:szCs w:val="26"/>
                <w:lang w:val="vi-VN" w:eastAsia="vi-VN"/>
              </w:rPr>
              <w:t>có một hay nhiều hành vi vi phạm theo quy định tại Điều 19 và Điều 20 Nghị định số 214/2025/NĐ-CP</w:t>
            </w:r>
            <w:r>
              <w:rPr>
                <w:rFonts w:asciiTheme="majorHAnsi" w:hAnsiTheme="majorHAnsi" w:cstheme="majorHAnsi"/>
                <w:color w:val="000000"/>
                <w:sz w:val="26"/>
                <w:szCs w:val="26"/>
                <w:lang w:eastAsia="vi-VN"/>
              </w:rPr>
              <w:t>.</w:t>
            </w:r>
          </w:p>
          <w:p w14:paraId="578301F1" w14:textId="54E060C7" w:rsidR="008669A8" w:rsidRPr="008669A8" w:rsidRDefault="00571BE8" w:rsidP="008669A8">
            <w:pPr>
              <w:autoSpaceDE w:val="0"/>
              <w:autoSpaceDN w:val="0"/>
              <w:adjustRightInd w:val="0"/>
              <w:rPr>
                <w:rFonts w:asciiTheme="majorHAnsi" w:hAnsiTheme="majorHAnsi" w:cstheme="majorHAnsi"/>
                <w:color w:val="000000"/>
                <w:sz w:val="26"/>
                <w:szCs w:val="26"/>
                <w:lang w:val="vi-VN" w:eastAsia="vi-VN"/>
              </w:rPr>
            </w:pPr>
            <w:r>
              <w:rPr>
                <w:rFonts w:asciiTheme="majorHAnsi" w:hAnsiTheme="majorHAnsi" w:cstheme="majorHAnsi"/>
                <w:color w:val="000000"/>
                <w:sz w:val="26"/>
                <w:szCs w:val="26"/>
                <w:lang w:eastAsia="vi-VN"/>
              </w:rPr>
              <w:t xml:space="preserve">- </w:t>
            </w:r>
            <w:r w:rsidR="008669A8" w:rsidRPr="008669A8">
              <w:rPr>
                <w:rFonts w:asciiTheme="majorHAnsi" w:hAnsiTheme="majorHAnsi" w:cstheme="majorHAnsi"/>
                <w:color w:val="000000"/>
                <w:sz w:val="26"/>
                <w:szCs w:val="26"/>
                <w:lang w:val="vi-VN" w:eastAsia="vi-VN"/>
              </w:rPr>
              <w:t>Nhà thầu có hợp đồng chậm tiến độ bị chủ đầu tư xử phạt vi phạm hợp đồng.</w:t>
            </w:r>
          </w:p>
          <w:p w14:paraId="150D07DF" w14:textId="168D2A38" w:rsidR="008669A8" w:rsidRPr="008669A8" w:rsidRDefault="008669A8" w:rsidP="008669A8">
            <w:pPr>
              <w:autoSpaceDE w:val="0"/>
              <w:autoSpaceDN w:val="0"/>
              <w:adjustRightInd w:val="0"/>
              <w:rPr>
                <w:rFonts w:asciiTheme="majorHAnsi" w:hAnsiTheme="majorHAnsi" w:cstheme="majorHAnsi"/>
                <w:color w:val="000000"/>
                <w:sz w:val="26"/>
                <w:szCs w:val="26"/>
                <w:lang w:val="vi-VN" w:eastAsia="vi-VN"/>
              </w:rPr>
            </w:pPr>
            <w:r w:rsidRPr="008669A8">
              <w:rPr>
                <w:rFonts w:asciiTheme="majorHAnsi" w:hAnsiTheme="majorHAnsi" w:cstheme="majorHAnsi"/>
                <w:color w:val="000000"/>
                <w:sz w:val="26"/>
                <w:szCs w:val="26"/>
                <w:lang w:val="vi-VN" w:eastAsia="vi-VN"/>
              </w:rPr>
              <w:t>- Nhà thầu bị Chủ đầu tư ra Quyết định chấm dứt nghĩa vụ thực hiện hợp đồng do nguyên nhân chủ quan/khách quan từ phía nhà thầu.</w:t>
            </w:r>
          </w:p>
          <w:p w14:paraId="08021DC8" w14:textId="405D8D80" w:rsidR="008669A8" w:rsidRPr="008669A8" w:rsidRDefault="008669A8" w:rsidP="008669A8">
            <w:pPr>
              <w:autoSpaceDE w:val="0"/>
              <w:autoSpaceDN w:val="0"/>
              <w:adjustRightInd w:val="0"/>
              <w:rPr>
                <w:rFonts w:asciiTheme="majorHAnsi" w:hAnsiTheme="majorHAnsi" w:cstheme="majorHAnsi"/>
                <w:color w:val="000000"/>
                <w:sz w:val="26"/>
                <w:szCs w:val="26"/>
                <w:lang w:val="vi-VN" w:eastAsia="vi-VN"/>
              </w:rPr>
            </w:pPr>
            <w:r w:rsidRPr="008669A8">
              <w:rPr>
                <w:rFonts w:asciiTheme="majorHAnsi" w:hAnsiTheme="majorHAnsi" w:cstheme="majorHAnsi"/>
                <w:color w:val="000000"/>
                <w:sz w:val="26"/>
                <w:szCs w:val="26"/>
                <w:lang w:val="vi-VN" w:eastAsia="vi-VN"/>
              </w:rPr>
              <w:t>- Nhà thầu  có hợp đồng bỏ dở do lỗi của nhà thầu.</w:t>
            </w:r>
          </w:p>
          <w:p w14:paraId="71212DCF" w14:textId="4A9C717D" w:rsidR="008669A8" w:rsidRPr="008669A8" w:rsidRDefault="008669A8" w:rsidP="008669A8">
            <w:pPr>
              <w:autoSpaceDE w:val="0"/>
              <w:autoSpaceDN w:val="0"/>
              <w:adjustRightInd w:val="0"/>
              <w:rPr>
                <w:rFonts w:asciiTheme="majorHAnsi" w:hAnsiTheme="majorHAnsi" w:cstheme="majorHAnsi"/>
                <w:color w:val="000000"/>
                <w:sz w:val="26"/>
                <w:szCs w:val="26"/>
                <w:lang w:val="vi-VN" w:eastAsia="vi-VN"/>
              </w:rPr>
            </w:pPr>
            <w:r w:rsidRPr="008669A8">
              <w:rPr>
                <w:rFonts w:asciiTheme="majorHAnsi" w:hAnsiTheme="majorHAnsi" w:cstheme="majorHAnsi"/>
                <w:color w:val="000000"/>
                <w:sz w:val="26"/>
                <w:szCs w:val="26"/>
                <w:lang w:val="vi-VN" w:eastAsia="vi-VN"/>
              </w:rPr>
              <w:t>- Nhà thầu có hợp đồng bị xử lý vi phạm (Tiêu chí này được đánh giá trong thời gian 03 năm gần đây, tính đến thời điểm đóng thầu và dựa trên thông tin công bố tại hệ thống mạng đấu thầu quốc gia  (https://muasamcong.gov.vn/)   và các nguồn thông tin khác tính đến thời điểm đóng thầu.)</w:t>
            </w:r>
          </w:p>
        </w:tc>
        <w:tc>
          <w:tcPr>
            <w:tcW w:w="557" w:type="pct"/>
            <w:vAlign w:val="center"/>
          </w:tcPr>
          <w:p w14:paraId="20E741EE" w14:textId="27FDA5EE" w:rsidR="008669A8" w:rsidRPr="008669A8" w:rsidRDefault="008669A8" w:rsidP="008669A8">
            <w:pPr>
              <w:ind w:left="104"/>
              <w:jc w:val="center"/>
              <w:textAlignment w:val="baseline"/>
              <w:rPr>
                <w:rFonts w:asciiTheme="majorHAnsi" w:hAnsiTheme="majorHAnsi" w:cstheme="majorHAnsi"/>
                <w:b/>
                <w:bCs/>
                <w:sz w:val="26"/>
                <w:szCs w:val="26"/>
                <w:lang w:val="vi-VN" w:eastAsia="vi-VN"/>
              </w:rPr>
            </w:pPr>
            <w:r w:rsidRPr="008669A8">
              <w:rPr>
                <w:rFonts w:asciiTheme="majorHAnsi" w:hAnsiTheme="majorHAnsi" w:cstheme="majorHAnsi"/>
                <w:b/>
                <w:sz w:val="26"/>
                <w:szCs w:val="26"/>
                <w:lang w:eastAsia="vi-VN"/>
              </w:rPr>
              <w:t>Không đạt</w:t>
            </w:r>
          </w:p>
        </w:tc>
      </w:tr>
      <w:tr w:rsidR="00E54E4E" w:rsidRPr="008669A8" w14:paraId="13B7F334" w14:textId="77777777" w:rsidTr="008669A8">
        <w:trPr>
          <w:trHeight w:val="543"/>
        </w:trPr>
        <w:tc>
          <w:tcPr>
            <w:tcW w:w="840" w:type="pct"/>
            <w:vMerge w:val="restart"/>
            <w:vAlign w:val="center"/>
            <w:hideMark/>
          </w:tcPr>
          <w:p w14:paraId="065DE1DF" w14:textId="77777777" w:rsidR="00E54E4E" w:rsidRPr="008669A8" w:rsidRDefault="00E54E4E" w:rsidP="008669A8">
            <w:pPr>
              <w:ind w:left="104"/>
              <w:jc w:val="center"/>
              <w:textAlignment w:val="baseline"/>
              <w:rPr>
                <w:rFonts w:asciiTheme="majorHAnsi" w:hAnsiTheme="majorHAnsi" w:cstheme="majorHAnsi"/>
                <w:sz w:val="26"/>
                <w:szCs w:val="26"/>
                <w:lang w:eastAsia="vi-VN"/>
              </w:rPr>
            </w:pPr>
            <w:r w:rsidRPr="008669A8">
              <w:rPr>
                <w:rFonts w:asciiTheme="majorHAnsi" w:hAnsiTheme="majorHAnsi" w:cstheme="majorHAnsi"/>
                <w:b/>
                <w:bCs/>
                <w:sz w:val="26"/>
                <w:szCs w:val="26"/>
                <w:lang w:eastAsia="vi-VN"/>
              </w:rPr>
              <w:t>Kết luận</w:t>
            </w:r>
            <w:r w:rsidRPr="008669A8">
              <w:rPr>
                <w:rFonts w:asciiTheme="majorHAnsi" w:hAnsiTheme="majorHAnsi" w:cstheme="majorHAnsi"/>
                <w:sz w:val="26"/>
                <w:szCs w:val="26"/>
                <w:lang w:eastAsia="vi-VN"/>
              </w:rPr>
              <w:t> </w:t>
            </w:r>
          </w:p>
        </w:tc>
        <w:tc>
          <w:tcPr>
            <w:tcW w:w="3603" w:type="pct"/>
            <w:vAlign w:val="center"/>
            <w:hideMark/>
          </w:tcPr>
          <w:p w14:paraId="5AAED066" w14:textId="77777777" w:rsidR="00E54E4E" w:rsidRPr="008669A8" w:rsidRDefault="00E54E4E" w:rsidP="008669A8">
            <w:pPr>
              <w:ind w:left="104"/>
              <w:jc w:val="left"/>
              <w:textAlignment w:val="baseline"/>
              <w:rPr>
                <w:rFonts w:asciiTheme="majorHAnsi" w:hAnsiTheme="majorHAnsi" w:cstheme="majorHAnsi"/>
                <w:sz w:val="26"/>
                <w:szCs w:val="26"/>
                <w:lang w:eastAsia="vi-VN"/>
              </w:rPr>
            </w:pPr>
            <w:r w:rsidRPr="008669A8">
              <w:rPr>
                <w:rFonts w:asciiTheme="majorHAnsi" w:hAnsiTheme="majorHAnsi" w:cstheme="majorHAnsi"/>
                <w:b/>
                <w:bCs/>
                <w:sz w:val="26"/>
                <w:szCs w:val="26"/>
                <w:lang w:eastAsia="vi-VN"/>
              </w:rPr>
              <w:t>Đạt tất cả các yêu cầu nêu trên</w:t>
            </w:r>
          </w:p>
        </w:tc>
        <w:tc>
          <w:tcPr>
            <w:tcW w:w="557" w:type="pct"/>
            <w:vAlign w:val="center"/>
            <w:hideMark/>
          </w:tcPr>
          <w:p w14:paraId="7F7DAF38" w14:textId="77777777" w:rsidR="00E54E4E" w:rsidRPr="008669A8" w:rsidRDefault="00E54E4E" w:rsidP="008669A8">
            <w:pPr>
              <w:ind w:left="104"/>
              <w:jc w:val="center"/>
              <w:textAlignment w:val="baseline"/>
              <w:rPr>
                <w:rFonts w:asciiTheme="majorHAnsi" w:hAnsiTheme="majorHAnsi" w:cstheme="majorHAnsi"/>
                <w:b/>
                <w:sz w:val="26"/>
                <w:szCs w:val="26"/>
                <w:lang w:eastAsia="vi-VN"/>
              </w:rPr>
            </w:pPr>
            <w:r w:rsidRPr="008669A8">
              <w:rPr>
                <w:rFonts w:asciiTheme="majorHAnsi" w:hAnsiTheme="majorHAnsi" w:cstheme="majorHAnsi"/>
                <w:b/>
                <w:bCs/>
                <w:sz w:val="26"/>
                <w:szCs w:val="26"/>
                <w:lang w:eastAsia="vi-VN"/>
              </w:rPr>
              <w:t>Đạt</w:t>
            </w:r>
          </w:p>
        </w:tc>
      </w:tr>
      <w:tr w:rsidR="00E54E4E" w:rsidRPr="008669A8" w14:paraId="187A40CC" w14:textId="77777777" w:rsidTr="008669A8">
        <w:trPr>
          <w:trHeight w:val="551"/>
        </w:trPr>
        <w:tc>
          <w:tcPr>
            <w:tcW w:w="840" w:type="pct"/>
            <w:vMerge/>
            <w:vAlign w:val="center"/>
            <w:hideMark/>
          </w:tcPr>
          <w:p w14:paraId="12F9CF1C" w14:textId="77777777" w:rsidR="00E54E4E" w:rsidRPr="008669A8" w:rsidRDefault="00E54E4E" w:rsidP="008669A8">
            <w:pPr>
              <w:rPr>
                <w:rFonts w:asciiTheme="majorHAnsi" w:hAnsiTheme="majorHAnsi" w:cstheme="majorHAnsi"/>
                <w:sz w:val="26"/>
                <w:szCs w:val="26"/>
                <w:lang w:val="vi-VN" w:eastAsia="vi-VN"/>
              </w:rPr>
            </w:pPr>
          </w:p>
        </w:tc>
        <w:tc>
          <w:tcPr>
            <w:tcW w:w="3603" w:type="pct"/>
            <w:vAlign w:val="center"/>
            <w:hideMark/>
          </w:tcPr>
          <w:p w14:paraId="148B2803" w14:textId="77777777" w:rsidR="00E54E4E" w:rsidRPr="008669A8" w:rsidRDefault="00E54E4E" w:rsidP="008669A8">
            <w:pPr>
              <w:ind w:left="104"/>
              <w:jc w:val="left"/>
              <w:textAlignment w:val="baseline"/>
              <w:rPr>
                <w:rFonts w:asciiTheme="majorHAnsi" w:hAnsiTheme="majorHAnsi" w:cstheme="majorHAnsi"/>
                <w:sz w:val="26"/>
                <w:szCs w:val="26"/>
                <w:lang w:val="vi-VN" w:eastAsia="vi-VN"/>
              </w:rPr>
            </w:pPr>
            <w:r w:rsidRPr="008669A8">
              <w:rPr>
                <w:rFonts w:asciiTheme="majorHAnsi" w:hAnsiTheme="majorHAnsi" w:cstheme="majorHAnsi"/>
                <w:b/>
                <w:bCs/>
                <w:sz w:val="26"/>
                <w:szCs w:val="26"/>
                <w:lang w:val="vi-VN" w:eastAsia="vi-VN"/>
              </w:rPr>
              <w:t>Có một nội dung không đạt</w:t>
            </w:r>
          </w:p>
        </w:tc>
        <w:tc>
          <w:tcPr>
            <w:tcW w:w="557" w:type="pct"/>
            <w:vAlign w:val="center"/>
            <w:hideMark/>
          </w:tcPr>
          <w:p w14:paraId="398AAF77" w14:textId="77777777" w:rsidR="00E54E4E" w:rsidRPr="008669A8" w:rsidRDefault="00E54E4E" w:rsidP="008669A8">
            <w:pPr>
              <w:ind w:left="104"/>
              <w:jc w:val="center"/>
              <w:textAlignment w:val="baseline"/>
              <w:rPr>
                <w:rFonts w:asciiTheme="majorHAnsi" w:hAnsiTheme="majorHAnsi" w:cstheme="majorHAnsi"/>
                <w:b/>
                <w:sz w:val="26"/>
                <w:szCs w:val="26"/>
                <w:lang w:eastAsia="vi-VN"/>
              </w:rPr>
            </w:pPr>
            <w:r w:rsidRPr="008669A8">
              <w:rPr>
                <w:rFonts w:asciiTheme="majorHAnsi" w:hAnsiTheme="majorHAnsi" w:cstheme="majorHAnsi"/>
                <w:b/>
                <w:bCs/>
                <w:sz w:val="26"/>
                <w:szCs w:val="26"/>
                <w:lang w:eastAsia="vi-VN"/>
              </w:rPr>
              <w:t>Không đạt</w:t>
            </w:r>
          </w:p>
        </w:tc>
      </w:tr>
    </w:tbl>
    <w:p w14:paraId="69B98400" w14:textId="77777777" w:rsidR="00CE26E2" w:rsidRDefault="00CE26E2" w:rsidP="00CE26E2">
      <w:pPr>
        <w:pStyle w:val="TOC1"/>
      </w:pPr>
    </w:p>
    <w:p w14:paraId="43BBFAD0" w14:textId="41F1750F" w:rsidR="009E2574" w:rsidRPr="0036436F" w:rsidRDefault="009E2574" w:rsidP="0036436F">
      <w:pPr>
        <w:spacing w:after="160" w:line="259" w:lineRule="auto"/>
        <w:jc w:val="left"/>
        <w:rPr>
          <w:rFonts w:asciiTheme="majorHAnsi" w:eastAsia="Batang" w:hAnsiTheme="majorHAnsi" w:cstheme="majorHAnsi"/>
          <w:b/>
          <w:bCs/>
          <w:iCs/>
          <w:noProof/>
          <w:kern w:val="36"/>
          <w:sz w:val="28"/>
          <w:szCs w:val="28"/>
          <w:lang w:val="nl-NL"/>
        </w:rPr>
      </w:pPr>
    </w:p>
    <w:sectPr w:rsidR="009E2574" w:rsidRPr="0036436F" w:rsidSect="00E44E08">
      <w:footerReference w:type="default" r:id="rId8"/>
      <w:footnotePr>
        <w:numRestart w:val="eachPage"/>
      </w:footnotePr>
      <w:endnotePr>
        <w:numFmt w:val="decimal"/>
      </w:endnotePr>
      <w:type w:val="continuous"/>
      <w:pgSz w:w="16838" w:h="11906" w:orient="landscape" w:code="9"/>
      <w:pgMar w:top="1021" w:right="851" w:bottom="851" w:left="851" w:header="567"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992C" w14:textId="77777777" w:rsidR="00DD0E57" w:rsidRDefault="00DD0E57" w:rsidP="0005772F">
      <w:r>
        <w:separator/>
      </w:r>
    </w:p>
  </w:endnote>
  <w:endnote w:type="continuationSeparator" w:id="0">
    <w:p w14:paraId="07DF93FB" w14:textId="77777777" w:rsidR="00DD0E57" w:rsidRDefault="00DD0E5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B0500000000000000"/>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2924" w14:textId="0451A79F" w:rsidR="00F80410" w:rsidRPr="000079CF" w:rsidRDefault="00F80410" w:rsidP="00F80410">
    <w:pPr>
      <w:pStyle w:val="Footer"/>
      <w:pBdr>
        <w:top w:val="single" w:sz="4" w:space="1" w:color="auto"/>
      </w:pBdr>
      <w:tabs>
        <w:tab w:val="right" w:pos="15136"/>
      </w:tabs>
      <w:rPr>
        <w:sz w:val="24"/>
        <w:szCs w:val="24"/>
      </w:rPr>
    </w:pPr>
    <w:r w:rsidRPr="00F80410">
      <w:rPr>
        <w:sz w:val="28"/>
        <w:szCs w:val="28"/>
      </w:rPr>
      <w:t xml:space="preserve">Tiêu chuẩn đánh giá kỹ thuật </w:t>
    </w:r>
    <w:sdt>
      <w:sdtPr>
        <w:rPr>
          <w:sz w:val="24"/>
          <w:szCs w:val="24"/>
        </w:rPr>
        <w:id w:val="909126094"/>
        <w:docPartObj>
          <w:docPartGallery w:val="Page Numbers (Bottom of Page)"/>
          <w:docPartUnique/>
        </w:docPartObj>
      </w:sdtPr>
      <w:sdtEndPr>
        <w:rPr>
          <w:noProof/>
        </w:rPr>
      </w:sdtEndPr>
      <w:sdtContent>
        <w:r w:rsidRPr="000079CF">
          <w:rPr>
            <w:sz w:val="24"/>
            <w:szCs w:val="24"/>
          </w:rPr>
          <w:tab/>
          <w:t>ĐGKT-</w:t>
        </w:r>
        <w:r w:rsidRPr="000079CF">
          <w:rPr>
            <w:sz w:val="24"/>
            <w:szCs w:val="24"/>
          </w:rPr>
          <w:fldChar w:fldCharType="begin"/>
        </w:r>
        <w:r w:rsidRPr="000079CF">
          <w:rPr>
            <w:sz w:val="24"/>
            <w:szCs w:val="24"/>
          </w:rPr>
          <w:instrText xml:space="preserve"> PAGE   \* MERGEFORMAT </w:instrText>
        </w:r>
        <w:r w:rsidRPr="000079CF">
          <w:rPr>
            <w:sz w:val="24"/>
            <w:szCs w:val="24"/>
          </w:rPr>
          <w:fldChar w:fldCharType="separate"/>
        </w:r>
        <w:r w:rsidRPr="000079CF">
          <w:rPr>
            <w:sz w:val="24"/>
            <w:szCs w:val="24"/>
          </w:rPr>
          <w:t>1</w:t>
        </w:r>
        <w:r w:rsidRPr="000079CF">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4006" w14:textId="77777777" w:rsidR="00DD0E57" w:rsidRDefault="00DD0E57" w:rsidP="0005772F">
      <w:r>
        <w:separator/>
      </w:r>
    </w:p>
  </w:footnote>
  <w:footnote w:type="continuationSeparator" w:id="0">
    <w:p w14:paraId="67492DFF" w14:textId="77777777" w:rsidR="00DD0E57" w:rsidRDefault="00DD0E5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B95F"/>
      </v:shape>
    </w:pict>
  </w:numPicBullet>
  <w:abstractNum w:abstractNumId="0" w15:restartNumberingAfterBreak="0">
    <w:nsid w:val="00DC3691"/>
    <w:multiLevelType w:val="hybridMultilevel"/>
    <w:tmpl w:val="A4E44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A5B07"/>
    <w:multiLevelType w:val="hybridMultilevel"/>
    <w:tmpl w:val="D76A9424"/>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A49D8"/>
    <w:multiLevelType w:val="hybridMultilevel"/>
    <w:tmpl w:val="1BD8B700"/>
    <w:lvl w:ilvl="0" w:tplc="8196EA40">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390958397">
    <w:abstractNumId w:val="12"/>
  </w:num>
  <w:num w:numId="2" w16cid:durableId="1339844526">
    <w:abstractNumId w:val="16"/>
  </w:num>
  <w:num w:numId="3" w16cid:durableId="1132093427">
    <w:abstractNumId w:val="31"/>
  </w:num>
  <w:num w:numId="4" w16cid:durableId="115606595">
    <w:abstractNumId w:val="7"/>
  </w:num>
  <w:num w:numId="5" w16cid:durableId="885218289">
    <w:abstractNumId w:val="17"/>
  </w:num>
  <w:num w:numId="6" w16cid:durableId="2110268538">
    <w:abstractNumId w:val="24"/>
  </w:num>
  <w:num w:numId="7" w16cid:durableId="1703018791">
    <w:abstractNumId w:val="3"/>
  </w:num>
  <w:num w:numId="8" w16cid:durableId="1453790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2847042">
    <w:abstractNumId w:val="23"/>
  </w:num>
  <w:num w:numId="10" w16cid:durableId="739061422">
    <w:abstractNumId w:val="8"/>
  </w:num>
  <w:num w:numId="11" w16cid:durableId="618532644">
    <w:abstractNumId w:val="25"/>
  </w:num>
  <w:num w:numId="12" w16cid:durableId="765728629">
    <w:abstractNumId w:val="29"/>
  </w:num>
  <w:num w:numId="13" w16cid:durableId="2013529525">
    <w:abstractNumId w:val="9"/>
  </w:num>
  <w:num w:numId="14" w16cid:durableId="258833418">
    <w:abstractNumId w:val="21"/>
  </w:num>
  <w:num w:numId="15" w16cid:durableId="264651984">
    <w:abstractNumId w:val="1"/>
  </w:num>
  <w:num w:numId="16" w16cid:durableId="1903952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3228202">
    <w:abstractNumId w:val="5"/>
  </w:num>
  <w:num w:numId="18" w16cid:durableId="599459553">
    <w:abstractNumId w:val="30"/>
  </w:num>
  <w:num w:numId="19" w16cid:durableId="1155144853">
    <w:abstractNumId w:val="4"/>
  </w:num>
  <w:num w:numId="20" w16cid:durableId="675112791">
    <w:abstractNumId w:val="28"/>
  </w:num>
  <w:num w:numId="21" w16cid:durableId="480850662">
    <w:abstractNumId w:val="19"/>
  </w:num>
  <w:num w:numId="22" w16cid:durableId="1080327483">
    <w:abstractNumId w:val="26"/>
  </w:num>
  <w:num w:numId="23" w16cid:durableId="508058291">
    <w:abstractNumId w:val="15"/>
  </w:num>
  <w:num w:numId="24" w16cid:durableId="1883861804">
    <w:abstractNumId w:val="27"/>
  </w:num>
  <w:num w:numId="25" w16cid:durableId="501697699">
    <w:abstractNumId w:val="13"/>
  </w:num>
  <w:num w:numId="26" w16cid:durableId="2140486677">
    <w:abstractNumId w:val="32"/>
  </w:num>
  <w:num w:numId="27" w16cid:durableId="1834760148">
    <w:abstractNumId w:val="6"/>
  </w:num>
  <w:num w:numId="28" w16cid:durableId="1787000439">
    <w:abstractNumId w:val="22"/>
  </w:num>
  <w:num w:numId="29" w16cid:durableId="11495647">
    <w:abstractNumId w:val="18"/>
  </w:num>
  <w:num w:numId="30" w16cid:durableId="410853339">
    <w:abstractNumId w:val="14"/>
  </w:num>
  <w:num w:numId="31" w16cid:durableId="1424689230">
    <w:abstractNumId w:val="20"/>
  </w:num>
  <w:num w:numId="32" w16cid:durableId="262496630">
    <w:abstractNumId w:val="10"/>
  </w:num>
  <w:num w:numId="33" w16cid:durableId="971322583">
    <w:abstractNumId w:val="0"/>
  </w:num>
  <w:num w:numId="34" w16cid:durableId="851065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079CF"/>
    <w:rsid w:val="0001066D"/>
    <w:rsid w:val="00013BC0"/>
    <w:rsid w:val="00014F30"/>
    <w:rsid w:val="00015255"/>
    <w:rsid w:val="00022510"/>
    <w:rsid w:val="0002274C"/>
    <w:rsid w:val="0002293A"/>
    <w:rsid w:val="00025845"/>
    <w:rsid w:val="00027775"/>
    <w:rsid w:val="000310A6"/>
    <w:rsid w:val="0003230A"/>
    <w:rsid w:val="000357CE"/>
    <w:rsid w:val="00036070"/>
    <w:rsid w:val="0004149E"/>
    <w:rsid w:val="0004698B"/>
    <w:rsid w:val="0004724D"/>
    <w:rsid w:val="00051BA7"/>
    <w:rsid w:val="0005321A"/>
    <w:rsid w:val="000535C7"/>
    <w:rsid w:val="000541D6"/>
    <w:rsid w:val="0005514B"/>
    <w:rsid w:val="0005772F"/>
    <w:rsid w:val="00060D8C"/>
    <w:rsid w:val="0006101F"/>
    <w:rsid w:val="0006303A"/>
    <w:rsid w:val="000675F3"/>
    <w:rsid w:val="00070846"/>
    <w:rsid w:val="00073677"/>
    <w:rsid w:val="00073A64"/>
    <w:rsid w:val="000748B4"/>
    <w:rsid w:val="000748D0"/>
    <w:rsid w:val="000768B6"/>
    <w:rsid w:val="00077AA3"/>
    <w:rsid w:val="000806D4"/>
    <w:rsid w:val="00083B9B"/>
    <w:rsid w:val="00084562"/>
    <w:rsid w:val="00084B51"/>
    <w:rsid w:val="000858E0"/>
    <w:rsid w:val="00087195"/>
    <w:rsid w:val="0008799B"/>
    <w:rsid w:val="00093359"/>
    <w:rsid w:val="00093367"/>
    <w:rsid w:val="000960F7"/>
    <w:rsid w:val="000A014C"/>
    <w:rsid w:val="000A0B22"/>
    <w:rsid w:val="000A17A2"/>
    <w:rsid w:val="000A1F2B"/>
    <w:rsid w:val="000A22CB"/>
    <w:rsid w:val="000A3427"/>
    <w:rsid w:val="000A35A8"/>
    <w:rsid w:val="000A6821"/>
    <w:rsid w:val="000A72C5"/>
    <w:rsid w:val="000A74B4"/>
    <w:rsid w:val="000B0D6E"/>
    <w:rsid w:val="000B1095"/>
    <w:rsid w:val="000B5DDC"/>
    <w:rsid w:val="000B7E31"/>
    <w:rsid w:val="000C1F31"/>
    <w:rsid w:val="000C24F6"/>
    <w:rsid w:val="000C7EAB"/>
    <w:rsid w:val="000D0D51"/>
    <w:rsid w:val="000D2F39"/>
    <w:rsid w:val="000D3713"/>
    <w:rsid w:val="000D76A0"/>
    <w:rsid w:val="000E107D"/>
    <w:rsid w:val="000E1593"/>
    <w:rsid w:val="000E5658"/>
    <w:rsid w:val="000E74E2"/>
    <w:rsid w:val="000F32A7"/>
    <w:rsid w:val="000F32AB"/>
    <w:rsid w:val="000F444F"/>
    <w:rsid w:val="000F4D10"/>
    <w:rsid w:val="000F7BC7"/>
    <w:rsid w:val="001034AC"/>
    <w:rsid w:val="00103676"/>
    <w:rsid w:val="00112AFA"/>
    <w:rsid w:val="00116979"/>
    <w:rsid w:val="001222D8"/>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6AC"/>
    <w:rsid w:val="00151FA5"/>
    <w:rsid w:val="00152077"/>
    <w:rsid w:val="0015700F"/>
    <w:rsid w:val="00160231"/>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8724D"/>
    <w:rsid w:val="001914E4"/>
    <w:rsid w:val="00191DEB"/>
    <w:rsid w:val="00192833"/>
    <w:rsid w:val="00193009"/>
    <w:rsid w:val="0019390B"/>
    <w:rsid w:val="00193C35"/>
    <w:rsid w:val="001A077B"/>
    <w:rsid w:val="001A07FC"/>
    <w:rsid w:val="001A1CCF"/>
    <w:rsid w:val="001A424B"/>
    <w:rsid w:val="001A4927"/>
    <w:rsid w:val="001A4CAF"/>
    <w:rsid w:val="001A50DB"/>
    <w:rsid w:val="001B33B7"/>
    <w:rsid w:val="001B4578"/>
    <w:rsid w:val="001B6249"/>
    <w:rsid w:val="001C13AE"/>
    <w:rsid w:val="001C2F27"/>
    <w:rsid w:val="001C32A5"/>
    <w:rsid w:val="001C3B5C"/>
    <w:rsid w:val="001C3F74"/>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17ED"/>
    <w:rsid w:val="002035DD"/>
    <w:rsid w:val="002042F9"/>
    <w:rsid w:val="002045D5"/>
    <w:rsid w:val="0020594A"/>
    <w:rsid w:val="00207646"/>
    <w:rsid w:val="00210783"/>
    <w:rsid w:val="00211E4D"/>
    <w:rsid w:val="00216205"/>
    <w:rsid w:val="002166A3"/>
    <w:rsid w:val="00217CCD"/>
    <w:rsid w:val="00220B3A"/>
    <w:rsid w:val="00226E78"/>
    <w:rsid w:val="00227AAA"/>
    <w:rsid w:val="00230DFB"/>
    <w:rsid w:val="00231955"/>
    <w:rsid w:val="00237AAA"/>
    <w:rsid w:val="00243A7C"/>
    <w:rsid w:val="00244240"/>
    <w:rsid w:val="002442B4"/>
    <w:rsid w:val="00244E58"/>
    <w:rsid w:val="0024670A"/>
    <w:rsid w:val="00250745"/>
    <w:rsid w:val="00250F35"/>
    <w:rsid w:val="00251015"/>
    <w:rsid w:val="00251321"/>
    <w:rsid w:val="00251680"/>
    <w:rsid w:val="00252EB8"/>
    <w:rsid w:val="00253DFD"/>
    <w:rsid w:val="002540EE"/>
    <w:rsid w:val="002547C0"/>
    <w:rsid w:val="0025522E"/>
    <w:rsid w:val="00256E83"/>
    <w:rsid w:val="002610A1"/>
    <w:rsid w:val="00266D90"/>
    <w:rsid w:val="00266EB9"/>
    <w:rsid w:val="00267229"/>
    <w:rsid w:val="00275A2A"/>
    <w:rsid w:val="00275F8D"/>
    <w:rsid w:val="00276F71"/>
    <w:rsid w:val="00277077"/>
    <w:rsid w:val="00281D28"/>
    <w:rsid w:val="00282C79"/>
    <w:rsid w:val="00282E54"/>
    <w:rsid w:val="00291294"/>
    <w:rsid w:val="00291CA9"/>
    <w:rsid w:val="002941C1"/>
    <w:rsid w:val="00294ADD"/>
    <w:rsid w:val="00295883"/>
    <w:rsid w:val="00296DD2"/>
    <w:rsid w:val="00296EBD"/>
    <w:rsid w:val="00296EFA"/>
    <w:rsid w:val="002A47A6"/>
    <w:rsid w:val="002A5D24"/>
    <w:rsid w:val="002A67A3"/>
    <w:rsid w:val="002A7B93"/>
    <w:rsid w:val="002B0A5C"/>
    <w:rsid w:val="002B336C"/>
    <w:rsid w:val="002B739F"/>
    <w:rsid w:val="002C0989"/>
    <w:rsid w:val="002C1A99"/>
    <w:rsid w:val="002C297E"/>
    <w:rsid w:val="002C29F1"/>
    <w:rsid w:val="002C31CF"/>
    <w:rsid w:val="002C559E"/>
    <w:rsid w:val="002D512C"/>
    <w:rsid w:val="002D5208"/>
    <w:rsid w:val="002D7996"/>
    <w:rsid w:val="002E131B"/>
    <w:rsid w:val="002E3866"/>
    <w:rsid w:val="002E567A"/>
    <w:rsid w:val="002E691A"/>
    <w:rsid w:val="002E7D7C"/>
    <w:rsid w:val="002F28E0"/>
    <w:rsid w:val="002F297D"/>
    <w:rsid w:val="002F2ACA"/>
    <w:rsid w:val="002F4325"/>
    <w:rsid w:val="002F466F"/>
    <w:rsid w:val="002F4F7E"/>
    <w:rsid w:val="002F5F37"/>
    <w:rsid w:val="002F6692"/>
    <w:rsid w:val="002F71BF"/>
    <w:rsid w:val="002F7B90"/>
    <w:rsid w:val="003011F5"/>
    <w:rsid w:val="00301C45"/>
    <w:rsid w:val="00303503"/>
    <w:rsid w:val="00303544"/>
    <w:rsid w:val="00303E46"/>
    <w:rsid w:val="003046A5"/>
    <w:rsid w:val="003047AB"/>
    <w:rsid w:val="00305108"/>
    <w:rsid w:val="00306043"/>
    <w:rsid w:val="003066C3"/>
    <w:rsid w:val="00307C01"/>
    <w:rsid w:val="00310227"/>
    <w:rsid w:val="003138D9"/>
    <w:rsid w:val="003146C6"/>
    <w:rsid w:val="00315511"/>
    <w:rsid w:val="00320DFB"/>
    <w:rsid w:val="00322AA2"/>
    <w:rsid w:val="00323855"/>
    <w:rsid w:val="003247A3"/>
    <w:rsid w:val="00324ED1"/>
    <w:rsid w:val="003268D7"/>
    <w:rsid w:val="00330597"/>
    <w:rsid w:val="00330B68"/>
    <w:rsid w:val="00334A51"/>
    <w:rsid w:val="00336265"/>
    <w:rsid w:val="00342552"/>
    <w:rsid w:val="00342C96"/>
    <w:rsid w:val="00342FB8"/>
    <w:rsid w:val="0034385E"/>
    <w:rsid w:val="0034479B"/>
    <w:rsid w:val="00344894"/>
    <w:rsid w:val="003479CE"/>
    <w:rsid w:val="003508F0"/>
    <w:rsid w:val="00352918"/>
    <w:rsid w:val="00353461"/>
    <w:rsid w:val="00355A3D"/>
    <w:rsid w:val="00355C0F"/>
    <w:rsid w:val="00356804"/>
    <w:rsid w:val="00357490"/>
    <w:rsid w:val="00362591"/>
    <w:rsid w:val="0036436F"/>
    <w:rsid w:val="0036628B"/>
    <w:rsid w:val="00367D47"/>
    <w:rsid w:val="00372233"/>
    <w:rsid w:val="00372410"/>
    <w:rsid w:val="0037303F"/>
    <w:rsid w:val="003754CB"/>
    <w:rsid w:val="00375D8C"/>
    <w:rsid w:val="00375DC5"/>
    <w:rsid w:val="00375F0E"/>
    <w:rsid w:val="00377D7C"/>
    <w:rsid w:val="00381E4D"/>
    <w:rsid w:val="00381E9B"/>
    <w:rsid w:val="00382A98"/>
    <w:rsid w:val="0038318D"/>
    <w:rsid w:val="003848BC"/>
    <w:rsid w:val="003851F9"/>
    <w:rsid w:val="003873EE"/>
    <w:rsid w:val="00390A03"/>
    <w:rsid w:val="00391417"/>
    <w:rsid w:val="003951A7"/>
    <w:rsid w:val="003A049E"/>
    <w:rsid w:val="003A10E3"/>
    <w:rsid w:val="003A133E"/>
    <w:rsid w:val="003A3642"/>
    <w:rsid w:val="003A4562"/>
    <w:rsid w:val="003A48FC"/>
    <w:rsid w:val="003A4D3B"/>
    <w:rsid w:val="003A4E89"/>
    <w:rsid w:val="003A581B"/>
    <w:rsid w:val="003A6B4B"/>
    <w:rsid w:val="003B062B"/>
    <w:rsid w:val="003B1B3E"/>
    <w:rsid w:val="003B56C0"/>
    <w:rsid w:val="003B6417"/>
    <w:rsid w:val="003B7C42"/>
    <w:rsid w:val="003B7E1C"/>
    <w:rsid w:val="003C1430"/>
    <w:rsid w:val="003C1DBE"/>
    <w:rsid w:val="003C3366"/>
    <w:rsid w:val="003C7540"/>
    <w:rsid w:val="003D0E8B"/>
    <w:rsid w:val="003D5105"/>
    <w:rsid w:val="003D67AA"/>
    <w:rsid w:val="003D6F7D"/>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8F3"/>
    <w:rsid w:val="00444CD2"/>
    <w:rsid w:val="00445FCA"/>
    <w:rsid w:val="00446937"/>
    <w:rsid w:val="00446D77"/>
    <w:rsid w:val="00446DB0"/>
    <w:rsid w:val="00450B2B"/>
    <w:rsid w:val="00452C11"/>
    <w:rsid w:val="00466233"/>
    <w:rsid w:val="00466827"/>
    <w:rsid w:val="00466CE4"/>
    <w:rsid w:val="0047020A"/>
    <w:rsid w:val="00473A28"/>
    <w:rsid w:val="00475F3C"/>
    <w:rsid w:val="00477B0D"/>
    <w:rsid w:val="00481215"/>
    <w:rsid w:val="00481C92"/>
    <w:rsid w:val="0048228D"/>
    <w:rsid w:val="00483BB8"/>
    <w:rsid w:val="004854CF"/>
    <w:rsid w:val="00485DAD"/>
    <w:rsid w:val="004907ED"/>
    <w:rsid w:val="00492402"/>
    <w:rsid w:val="00492894"/>
    <w:rsid w:val="00492965"/>
    <w:rsid w:val="004957D1"/>
    <w:rsid w:val="004A3910"/>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3B1"/>
    <w:rsid w:val="004E11D9"/>
    <w:rsid w:val="004E2616"/>
    <w:rsid w:val="004E2747"/>
    <w:rsid w:val="004E2ABA"/>
    <w:rsid w:val="004E3656"/>
    <w:rsid w:val="004F1F87"/>
    <w:rsid w:val="004F2264"/>
    <w:rsid w:val="004F532C"/>
    <w:rsid w:val="004F6E9B"/>
    <w:rsid w:val="004F7D17"/>
    <w:rsid w:val="0050083F"/>
    <w:rsid w:val="00501F20"/>
    <w:rsid w:val="00505B05"/>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673B"/>
    <w:rsid w:val="0056030F"/>
    <w:rsid w:val="005620F2"/>
    <w:rsid w:val="0056266C"/>
    <w:rsid w:val="00564069"/>
    <w:rsid w:val="00565E5B"/>
    <w:rsid w:val="00566780"/>
    <w:rsid w:val="00566FD9"/>
    <w:rsid w:val="00571BE8"/>
    <w:rsid w:val="00571D36"/>
    <w:rsid w:val="00571F9E"/>
    <w:rsid w:val="00573382"/>
    <w:rsid w:val="00574C2E"/>
    <w:rsid w:val="00575CA8"/>
    <w:rsid w:val="00576248"/>
    <w:rsid w:val="005770E5"/>
    <w:rsid w:val="00577999"/>
    <w:rsid w:val="005806AD"/>
    <w:rsid w:val="0058559E"/>
    <w:rsid w:val="00585859"/>
    <w:rsid w:val="005910A5"/>
    <w:rsid w:val="00591AB0"/>
    <w:rsid w:val="0059275A"/>
    <w:rsid w:val="005931EF"/>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6834"/>
    <w:rsid w:val="005C746A"/>
    <w:rsid w:val="005D0577"/>
    <w:rsid w:val="005D0E77"/>
    <w:rsid w:val="005D150E"/>
    <w:rsid w:val="005D4C19"/>
    <w:rsid w:val="005D4FDC"/>
    <w:rsid w:val="005E056D"/>
    <w:rsid w:val="005E32F4"/>
    <w:rsid w:val="005E4A22"/>
    <w:rsid w:val="005F23CD"/>
    <w:rsid w:val="005F2D49"/>
    <w:rsid w:val="005F429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B5C"/>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54D6"/>
    <w:rsid w:val="006669EA"/>
    <w:rsid w:val="00666A74"/>
    <w:rsid w:val="00666FC8"/>
    <w:rsid w:val="00667CBA"/>
    <w:rsid w:val="006749CF"/>
    <w:rsid w:val="00674EB0"/>
    <w:rsid w:val="006759EA"/>
    <w:rsid w:val="006777CA"/>
    <w:rsid w:val="00680C18"/>
    <w:rsid w:val="00681157"/>
    <w:rsid w:val="006813C6"/>
    <w:rsid w:val="0068182C"/>
    <w:rsid w:val="00681F76"/>
    <w:rsid w:val="00684B25"/>
    <w:rsid w:val="00686E49"/>
    <w:rsid w:val="00690F0B"/>
    <w:rsid w:val="0069347F"/>
    <w:rsid w:val="006943D1"/>
    <w:rsid w:val="00694B8E"/>
    <w:rsid w:val="0069534A"/>
    <w:rsid w:val="00695E1E"/>
    <w:rsid w:val="00697A5F"/>
    <w:rsid w:val="006A10BC"/>
    <w:rsid w:val="006A1369"/>
    <w:rsid w:val="006A1A62"/>
    <w:rsid w:val="006A24F2"/>
    <w:rsid w:val="006A29BF"/>
    <w:rsid w:val="006A4587"/>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4114"/>
    <w:rsid w:val="006E596D"/>
    <w:rsid w:val="006E681B"/>
    <w:rsid w:val="006F1137"/>
    <w:rsid w:val="007000FE"/>
    <w:rsid w:val="007019A5"/>
    <w:rsid w:val="0070326A"/>
    <w:rsid w:val="00706E25"/>
    <w:rsid w:val="00707124"/>
    <w:rsid w:val="00707851"/>
    <w:rsid w:val="007104B2"/>
    <w:rsid w:val="00712AB5"/>
    <w:rsid w:val="00713004"/>
    <w:rsid w:val="00716FBB"/>
    <w:rsid w:val="00722E3F"/>
    <w:rsid w:val="00727A6D"/>
    <w:rsid w:val="007316C1"/>
    <w:rsid w:val="00731D07"/>
    <w:rsid w:val="007321FB"/>
    <w:rsid w:val="0073237A"/>
    <w:rsid w:val="0073260A"/>
    <w:rsid w:val="00732A52"/>
    <w:rsid w:val="00732B01"/>
    <w:rsid w:val="0073354E"/>
    <w:rsid w:val="00740397"/>
    <w:rsid w:val="00741649"/>
    <w:rsid w:val="00742D9A"/>
    <w:rsid w:val="007460C9"/>
    <w:rsid w:val="007471FA"/>
    <w:rsid w:val="00750ACA"/>
    <w:rsid w:val="00752003"/>
    <w:rsid w:val="0075288C"/>
    <w:rsid w:val="0075621E"/>
    <w:rsid w:val="007615B8"/>
    <w:rsid w:val="00766410"/>
    <w:rsid w:val="00767F7A"/>
    <w:rsid w:val="00770A85"/>
    <w:rsid w:val="00771DA7"/>
    <w:rsid w:val="00772455"/>
    <w:rsid w:val="007738CC"/>
    <w:rsid w:val="00774190"/>
    <w:rsid w:val="0077525D"/>
    <w:rsid w:val="007754ED"/>
    <w:rsid w:val="00776FF8"/>
    <w:rsid w:val="00782599"/>
    <w:rsid w:val="00782AAD"/>
    <w:rsid w:val="00782E26"/>
    <w:rsid w:val="007839FA"/>
    <w:rsid w:val="00783A90"/>
    <w:rsid w:val="00784114"/>
    <w:rsid w:val="00785AD4"/>
    <w:rsid w:val="00787034"/>
    <w:rsid w:val="0079003D"/>
    <w:rsid w:val="00791C39"/>
    <w:rsid w:val="00794780"/>
    <w:rsid w:val="007970A5"/>
    <w:rsid w:val="007972C4"/>
    <w:rsid w:val="007A23AA"/>
    <w:rsid w:val="007A34D6"/>
    <w:rsid w:val="007A40AA"/>
    <w:rsid w:val="007A41D2"/>
    <w:rsid w:val="007A4779"/>
    <w:rsid w:val="007A646B"/>
    <w:rsid w:val="007A6E27"/>
    <w:rsid w:val="007A744C"/>
    <w:rsid w:val="007A7BEC"/>
    <w:rsid w:val="007B0413"/>
    <w:rsid w:val="007B1E4E"/>
    <w:rsid w:val="007B56F2"/>
    <w:rsid w:val="007B68DC"/>
    <w:rsid w:val="007B7BFD"/>
    <w:rsid w:val="007C048E"/>
    <w:rsid w:val="007C082D"/>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7F7AFF"/>
    <w:rsid w:val="00801A3D"/>
    <w:rsid w:val="00802E7C"/>
    <w:rsid w:val="008044B5"/>
    <w:rsid w:val="008059EF"/>
    <w:rsid w:val="00813200"/>
    <w:rsid w:val="00813234"/>
    <w:rsid w:val="008150B5"/>
    <w:rsid w:val="00815578"/>
    <w:rsid w:val="00817B2E"/>
    <w:rsid w:val="00821B26"/>
    <w:rsid w:val="008222AC"/>
    <w:rsid w:val="008239FC"/>
    <w:rsid w:val="0082499B"/>
    <w:rsid w:val="00826DD2"/>
    <w:rsid w:val="00830007"/>
    <w:rsid w:val="0083034D"/>
    <w:rsid w:val="0083034E"/>
    <w:rsid w:val="00831E05"/>
    <w:rsid w:val="00834BB9"/>
    <w:rsid w:val="00834D31"/>
    <w:rsid w:val="00837478"/>
    <w:rsid w:val="00841200"/>
    <w:rsid w:val="00847464"/>
    <w:rsid w:val="008478C8"/>
    <w:rsid w:val="0085260D"/>
    <w:rsid w:val="00852E2D"/>
    <w:rsid w:val="008533CC"/>
    <w:rsid w:val="008541C2"/>
    <w:rsid w:val="00855B9B"/>
    <w:rsid w:val="0085712C"/>
    <w:rsid w:val="00857C12"/>
    <w:rsid w:val="00863E1E"/>
    <w:rsid w:val="00863F34"/>
    <w:rsid w:val="008669A8"/>
    <w:rsid w:val="00867556"/>
    <w:rsid w:val="00867FB2"/>
    <w:rsid w:val="00870223"/>
    <w:rsid w:val="00870855"/>
    <w:rsid w:val="00872B34"/>
    <w:rsid w:val="00875034"/>
    <w:rsid w:val="00877B82"/>
    <w:rsid w:val="008805E5"/>
    <w:rsid w:val="008805ED"/>
    <w:rsid w:val="008852BE"/>
    <w:rsid w:val="008854AE"/>
    <w:rsid w:val="008868B4"/>
    <w:rsid w:val="00891F0D"/>
    <w:rsid w:val="0089502F"/>
    <w:rsid w:val="00895BC2"/>
    <w:rsid w:val="00896364"/>
    <w:rsid w:val="00896565"/>
    <w:rsid w:val="008A1BFE"/>
    <w:rsid w:val="008A29BF"/>
    <w:rsid w:val="008A539E"/>
    <w:rsid w:val="008A614C"/>
    <w:rsid w:val="008A6718"/>
    <w:rsid w:val="008A77B6"/>
    <w:rsid w:val="008B268B"/>
    <w:rsid w:val="008C0BCC"/>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206F"/>
    <w:rsid w:val="00906008"/>
    <w:rsid w:val="00906424"/>
    <w:rsid w:val="009066AA"/>
    <w:rsid w:val="0091007A"/>
    <w:rsid w:val="00910EFC"/>
    <w:rsid w:val="00912977"/>
    <w:rsid w:val="00916C89"/>
    <w:rsid w:val="00916EE1"/>
    <w:rsid w:val="0092003C"/>
    <w:rsid w:val="00920B34"/>
    <w:rsid w:val="00923277"/>
    <w:rsid w:val="00930F77"/>
    <w:rsid w:val="00933D32"/>
    <w:rsid w:val="009344DF"/>
    <w:rsid w:val="00934F58"/>
    <w:rsid w:val="0093625F"/>
    <w:rsid w:val="00937A12"/>
    <w:rsid w:val="00940654"/>
    <w:rsid w:val="00940B98"/>
    <w:rsid w:val="00943518"/>
    <w:rsid w:val="00943D70"/>
    <w:rsid w:val="00952CC0"/>
    <w:rsid w:val="00953156"/>
    <w:rsid w:val="009535AD"/>
    <w:rsid w:val="0095484A"/>
    <w:rsid w:val="009578F0"/>
    <w:rsid w:val="009602B0"/>
    <w:rsid w:val="00965318"/>
    <w:rsid w:val="00965B22"/>
    <w:rsid w:val="00973CFA"/>
    <w:rsid w:val="00975A84"/>
    <w:rsid w:val="00975F71"/>
    <w:rsid w:val="009766F1"/>
    <w:rsid w:val="00977A3D"/>
    <w:rsid w:val="009851E6"/>
    <w:rsid w:val="00990BF6"/>
    <w:rsid w:val="00992199"/>
    <w:rsid w:val="00993061"/>
    <w:rsid w:val="0099367C"/>
    <w:rsid w:val="009936B6"/>
    <w:rsid w:val="0099377A"/>
    <w:rsid w:val="00994C27"/>
    <w:rsid w:val="009A0A76"/>
    <w:rsid w:val="009A4B11"/>
    <w:rsid w:val="009A5FBF"/>
    <w:rsid w:val="009B0B9B"/>
    <w:rsid w:val="009B29FD"/>
    <w:rsid w:val="009C1534"/>
    <w:rsid w:val="009C4B97"/>
    <w:rsid w:val="009C573C"/>
    <w:rsid w:val="009D4995"/>
    <w:rsid w:val="009D6ED1"/>
    <w:rsid w:val="009E0BA1"/>
    <w:rsid w:val="009E2574"/>
    <w:rsid w:val="009E4368"/>
    <w:rsid w:val="009E5297"/>
    <w:rsid w:val="009E53FC"/>
    <w:rsid w:val="009E5664"/>
    <w:rsid w:val="009E6C33"/>
    <w:rsid w:val="009F03CD"/>
    <w:rsid w:val="009F472C"/>
    <w:rsid w:val="009F64DD"/>
    <w:rsid w:val="009F7C6B"/>
    <w:rsid w:val="00A031BD"/>
    <w:rsid w:val="00A031D7"/>
    <w:rsid w:val="00A03318"/>
    <w:rsid w:val="00A1110E"/>
    <w:rsid w:val="00A12F0B"/>
    <w:rsid w:val="00A1386D"/>
    <w:rsid w:val="00A13B5F"/>
    <w:rsid w:val="00A142FC"/>
    <w:rsid w:val="00A148CE"/>
    <w:rsid w:val="00A206DE"/>
    <w:rsid w:val="00A2089A"/>
    <w:rsid w:val="00A20C53"/>
    <w:rsid w:val="00A236F7"/>
    <w:rsid w:val="00A2641C"/>
    <w:rsid w:val="00A309A0"/>
    <w:rsid w:val="00A32C64"/>
    <w:rsid w:val="00A335FB"/>
    <w:rsid w:val="00A33A23"/>
    <w:rsid w:val="00A40869"/>
    <w:rsid w:val="00A40F69"/>
    <w:rsid w:val="00A41939"/>
    <w:rsid w:val="00A42E41"/>
    <w:rsid w:val="00A44397"/>
    <w:rsid w:val="00A46E2C"/>
    <w:rsid w:val="00A479E6"/>
    <w:rsid w:val="00A52B9E"/>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3509"/>
    <w:rsid w:val="00A94208"/>
    <w:rsid w:val="00A95BB7"/>
    <w:rsid w:val="00AA035B"/>
    <w:rsid w:val="00AA0778"/>
    <w:rsid w:val="00AA0F2A"/>
    <w:rsid w:val="00AA377E"/>
    <w:rsid w:val="00AA43F4"/>
    <w:rsid w:val="00AA718F"/>
    <w:rsid w:val="00AA7D5D"/>
    <w:rsid w:val="00AB184F"/>
    <w:rsid w:val="00AB1B72"/>
    <w:rsid w:val="00AB2E4A"/>
    <w:rsid w:val="00AB32FC"/>
    <w:rsid w:val="00AB4994"/>
    <w:rsid w:val="00AC14E9"/>
    <w:rsid w:val="00AC2283"/>
    <w:rsid w:val="00AC2B06"/>
    <w:rsid w:val="00AC3A04"/>
    <w:rsid w:val="00AC6CF5"/>
    <w:rsid w:val="00AC7344"/>
    <w:rsid w:val="00AD0AE0"/>
    <w:rsid w:val="00AD58EE"/>
    <w:rsid w:val="00AD60FF"/>
    <w:rsid w:val="00AD6D83"/>
    <w:rsid w:val="00AE4500"/>
    <w:rsid w:val="00AE6B81"/>
    <w:rsid w:val="00AF2995"/>
    <w:rsid w:val="00AF59E1"/>
    <w:rsid w:val="00AF6F91"/>
    <w:rsid w:val="00AF7088"/>
    <w:rsid w:val="00B01B14"/>
    <w:rsid w:val="00B0439C"/>
    <w:rsid w:val="00B04A9F"/>
    <w:rsid w:val="00B050F0"/>
    <w:rsid w:val="00B0741B"/>
    <w:rsid w:val="00B10F13"/>
    <w:rsid w:val="00B12514"/>
    <w:rsid w:val="00B127B6"/>
    <w:rsid w:val="00B12863"/>
    <w:rsid w:val="00B14DD4"/>
    <w:rsid w:val="00B153E7"/>
    <w:rsid w:val="00B1572C"/>
    <w:rsid w:val="00B15A5E"/>
    <w:rsid w:val="00B1675A"/>
    <w:rsid w:val="00B17FD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3D24"/>
    <w:rsid w:val="00B440B9"/>
    <w:rsid w:val="00B44201"/>
    <w:rsid w:val="00B5233F"/>
    <w:rsid w:val="00B543A5"/>
    <w:rsid w:val="00B602BC"/>
    <w:rsid w:val="00B602FD"/>
    <w:rsid w:val="00B60B6D"/>
    <w:rsid w:val="00B62494"/>
    <w:rsid w:val="00B662B8"/>
    <w:rsid w:val="00B75860"/>
    <w:rsid w:val="00B77709"/>
    <w:rsid w:val="00B82207"/>
    <w:rsid w:val="00B85FF4"/>
    <w:rsid w:val="00B86418"/>
    <w:rsid w:val="00B865B6"/>
    <w:rsid w:val="00B87F6B"/>
    <w:rsid w:val="00B90802"/>
    <w:rsid w:val="00B909A2"/>
    <w:rsid w:val="00B91160"/>
    <w:rsid w:val="00B91551"/>
    <w:rsid w:val="00B93355"/>
    <w:rsid w:val="00B933DB"/>
    <w:rsid w:val="00B9426F"/>
    <w:rsid w:val="00BA0AC6"/>
    <w:rsid w:val="00BA158C"/>
    <w:rsid w:val="00BA2A2C"/>
    <w:rsid w:val="00BA2EE0"/>
    <w:rsid w:val="00BB0A1A"/>
    <w:rsid w:val="00BB1D59"/>
    <w:rsid w:val="00BB42BC"/>
    <w:rsid w:val="00BB6111"/>
    <w:rsid w:val="00BB66D6"/>
    <w:rsid w:val="00BB7F3B"/>
    <w:rsid w:val="00BC5D61"/>
    <w:rsid w:val="00BC5EA8"/>
    <w:rsid w:val="00BC5F06"/>
    <w:rsid w:val="00BC7A77"/>
    <w:rsid w:val="00BD25AA"/>
    <w:rsid w:val="00BD7CF7"/>
    <w:rsid w:val="00BE01E8"/>
    <w:rsid w:val="00BE2553"/>
    <w:rsid w:val="00BE3E5D"/>
    <w:rsid w:val="00BE7498"/>
    <w:rsid w:val="00BE7BFB"/>
    <w:rsid w:val="00BF2A8F"/>
    <w:rsid w:val="00BF2E8F"/>
    <w:rsid w:val="00BF37B3"/>
    <w:rsid w:val="00BF50CF"/>
    <w:rsid w:val="00BF5BC1"/>
    <w:rsid w:val="00BF5DB5"/>
    <w:rsid w:val="00BF6C4A"/>
    <w:rsid w:val="00BF6E01"/>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331A"/>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6B31"/>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4490"/>
    <w:rsid w:val="00CD514E"/>
    <w:rsid w:val="00CD6E64"/>
    <w:rsid w:val="00CE0F0F"/>
    <w:rsid w:val="00CE26E2"/>
    <w:rsid w:val="00CE2F95"/>
    <w:rsid w:val="00CE355F"/>
    <w:rsid w:val="00CE5BCB"/>
    <w:rsid w:val="00CE6130"/>
    <w:rsid w:val="00CE6E52"/>
    <w:rsid w:val="00CE7535"/>
    <w:rsid w:val="00CF0A52"/>
    <w:rsid w:val="00CF238B"/>
    <w:rsid w:val="00CF413B"/>
    <w:rsid w:val="00CF5935"/>
    <w:rsid w:val="00CF6A21"/>
    <w:rsid w:val="00CF6FE5"/>
    <w:rsid w:val="00CF70F4"/>
    <w:rsid w:val="00CF71C1"/>
    <w:rsid w:val="00CF7424"/>
    <w:rsid w:val="00CF7F2A"/>
    <w:rsid w:val="00D03AC6"/>
    <w:rsid w:val="00D05ADC"/>
    <w:rsid w:val="00D05F85"/>
    <w:rsid w:val="00D10119"/>
    <w:rsid w:val="00D11292"/>
    <w:rsid w:val="00D12A88"/>
    <w:rsid w:val="00D138C8"/>
    <w:rsid w:val="00D15E21"/>
    <w:rsid w:val="00D20B10"/>
    <w:rsid w:val="00D2326D"/>
    <w:rsid w:val="00D251D5"/>
    <w:rsid w:val="00D3172F"/>
    <w:rsid w:val="00D33B9A"/>
    <w:rsid w:val="00D33CBD"/>
    <w:rsid w:val="00D34F7D"/>
    <w:rsid w:val="00D37B0A"/>
    <w:rsid w:val="00D401CE"/>
    <w:rsid w:val="00D4135E"/>
    <w:rsid w:val="00D43D86"/>
    <w:rsid w:val="00D442AF"/>
    <w:rsid w:val="00D4467C"/>
    <w:rsid w:val="00D46994"/>
    <w:rsid w:val="00D50241"/>
    <w:rsid w:val="00D502BA"/>
    <w:rsid w:val="00D51587"/>
    <w:rsid w:val="00D53749"/>
    <w:rsid w:val="00D53B67"/>
    <w:rsid w:val="00D55142"/>
    <w:rsid w:val="00D5529B"/>
    <w:rsid w:val="00D552D6"/>
    <w:rsid w:val="00D562F3"/>
    <w:rsid w:val="00D60D01"/>
    <w:rsid w:val="00D60EB4"/>
    <w:rsid w:val="00D60F81"/>
    <w:rsid w:val="00D62F72"/>
    <w:rsid w:val="00D64599"/>
    <w:rsid w:val="00D65163"/>
    <w:rsid w:val="00D67AE3"/>
    <w:rsid w:val="00D70C7F"/>
    <w:rsid w:val="00D719C6"/>
    <w:rsid w:val="00D71D29"/>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10F7"/>
    <w:rsid w:val="00DB267E"/>
    <w:rsid w:val="00DB4BF5"/>
    <w:rsid w:val="00DB72E7"/>
    <w:rsid w:val="00DC194C"/>
    <w:rsid w:val="00DC1EE3"/>
    <w:rsid w:val="00DC79EB"/>
    <w:rsid w:val="00DC7A39"/>
    <w:rsid w:val="00DD09D6"/>
    <w:rsid w:val="00DD0E57"/>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65C2"/>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26CDF"/>
    <w:rsid w:val="00E30733"/>
    <w:rsid w:val="00E30B92"/>
    <w:rsid w:val="00E31915"/>
    <w:rsid w:val="00E34645"/>
    <w:rsid w:val="00E36043"/>
    <w:rsid w:val="00E36CB1"/>
    <w:rsid w:val="00E3796C"/>
    <w:rsid w:val="00E4057B"/>
    <w:rsid w:val="00E41D10"/>
    <w:rsid w:val="00E42DAA"/>
    <w:rsid w:val="00E436AA"/>
    <w:rsid w:val="00E44E08"/>
    <w:rsid w:val="00E46AC2"/>
    <w:rsid w:val="00E47A82"/>
    <w:rsid w:val="00E54E4E"/>
    <w:rsid w:val="00E56510"/>
    <w:rsid w:val="00E56951"/>
    <w:rsid w:val="00E570C1"/>
    <w:rsid w:val="00E656C5"/>
    <w:rsid w:val="00E7190E"/>
    <w:rsid w:val="00E733BC"/>
    <w:rsid w:val="00E737D6"/>
    <w:rsid w:val="00E74A6D"/>
    <w:rsid w:val="00E74B2E"/>
    <w:rsid w:val="00E837CB"/>
    <w:rsid w:val="00E83DF8"/>
    <w:rsid w:val="00E84170"/>
    <w:rsid w:val="00E94BCD"/>
    <w:rsid w:val="00EA0D54"/>
    <w:rsid w:val="00EA19F2"/>
    <w:rsid w:val="00EA3B44"/>
    <w:rsid w:val="00EA5225"/>
    <w:rsid w:val="00EA5891"/>
    <w:rsid w:val="00EA6C63"/>
    <w:rsid w:val="00EB0534"/>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35E2"/>
    <w:rsid w:val="00EF5B9E"/>
    <w:rsid w:val="00EF7E0E"/>
    <w:rsid w:val="00F003CA"/>
    <w:rsid w:val="00F026F4"/>
    <w:rsid w:val="00F0439F"/>
    <w:rsid w:val="00F05069"/>
    <w:rsid w:val="00F05921"/>
    <w:rsid w:val="00F067FC"/>
    <w:rsid w:val="00F07890"/>
    <w:rsid w:val="00F10099"/>
    <w:rsid w:val="00F1116D"/>
    <w:rsid w:val="00F12230"/>
    <w:rsid w:val="00F16EE2"/>
    <w:rsid w:val="00F210D6"/>
    <w:rsid w:val="00F23613"/>
    <w:rsid w:val="00F2466F"/>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60ADC"/>
    <w:rsid w:val="00F60B33"/>
    <w:rsid w:val="00F61151"/>
    <w:rsid w:val="00F635FD"/>
    <w:rsid w:val="00F67498"/>
    <w:rsid w:val="00F67A74"/>
    <w:rsid w:val="00F726D9"/>
    <w:rsid w:val="00F7287A"/>
    <w:rsid w:val="00F7731F"/>
    <w:rsid w:val="00F80410"/>
    <w:rsid w:val="00F83CE5"/>
    <w:rsid w:val="00F841B4"/>
    <w:rsid w:val="00F9222D"/>
    <w:rsid w:val="00F939E0"/>
    <w:rsid w:val="00F972D0"/>
    <w:rsid w:val="00F97C4F"/>
    <w:rsid w:val="00FA0B8A"/>
    <w:rsid w:val="00FA2181"/>
    <w:rsid w:val="00FA3898"/>
    <w:rsid w:val="00FA3A5F"/>
    <w:rsid w:val="00FA3EE4"/>
    <w:rsid w:val="00FA622A"/>
    <w:rsid w:val="00FA6332"/>
    <w:rsid w:val="00FA6D16"/>
    <w:rsid w:val="00FB2BF2"/>
    <w:rsid w:val="00FB3157"/>
    <w:rsid w:val="00FB4471"/>
    <w:rsid w:val="00FB46F3"/>
    <w:rsid w:val="00FB4890"/>
    <w:rsid w:val="00FB6174"/>
    <w:rsid w:val="00FC2C94"/>
    <w:rsid w:val="00FC36C1"/>
    <w:rsid w:val="00FC4518"/>
    <w:rsid w:val="00FC4C3C"/>
    <w:rsid w:val="00FC6654"/>
    <w:rsid w:val="00FD00DC"/>
    <w:rsid w:val="00FD089A"/>
    <w:rsid w:val="00FD099B"/>
    <w:rsid w:val="00FD0D0F"/>
    <w:rsid w:val="00FD2221"/>
    <w:rsid w:val="00FD6C12"/>
    <w:rsid w:val="00FE02B5"/>
    <w:rsid w:val="00FE21C0"/>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table" w:styleId="TableGrid">
    <w:name w:val="Table Grid"/>
    <w:basedOn w:val="TableNormal"/>
    <w:uiPriority w:val="59"/>
    <w:qFormat/>
    <w:rsid w:val="003C7540"/>
    <w:pPr>
      <w:spacing w:after="0" w:line="240" w:lineRule="auto"/>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78BEA-DDA0-46C8-8374-A1866A2A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Thư Nguyễn</cp:lastModifiedBy>
  <cp:revision>109</cp:revision>
  <cp:lastPrinted>2022-05-26T06:41:00Z</cp:lastPrinted>
  <dcterms:created xsi:type="dcterms:W3CDTF">2022-06-06T07:25:00Z</dcterms:created>
  <dcterms:modified xsi:type="dcterms:W3CDTF">2025-09-19T03:03:00Z</dcterms:modified>
</cp:coreProperties>
</file>