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5D80" w14:textId="48997029" w:rsidR="00847464" w:rsidRPr="00180F17" w:rsidRDefault="00847464" w:rsidP="004238DB">
      <w:pPr>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4238DB">
      <w:pPr>
        <w:ind w:firstLine="567"/>
        <w:rPr>
          <w:b/>
          <w:bCs/>
          <w:noProof/>
          <w:sz w:val="28"/>
          <w:szCs w:val="28"/>
          <w:lang w:val="es-ES"/>
        </w:rPr>
      </w:pPr>
    </w:p>
    <w:p w14:paraId="1A504AB9" w14:textId="2F9A1838" w:rsidR="00847464" w:rsidRPr="00180F17" w:rsidRDefault="00847464" w:rsidP="004238DB">
      <w:pPr>
        <w:pStyle w:val="TOC1"/>
        <w:spacing w:before="0" w:after="0"/>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02C81B4" w14:textId="77777777" w:rsidR="000E62F2" w:rsidRPr="00010133" w:rsidRDefault="000E62F2" w:rsidP="004238DB">
      <w:pPr>
        <w:widowControl w:val="0"/>
        <w:autoSpaceDE w:val="0"/>
        <w:autoSpaceDN w:val="0"/>
        <w:adjustRightInd w:val="0"/>
        <w:ind w:right="-14" w:firstLine="720"/>
        <w:rPr>
          <w:b/>
          <w:bCs/>
          <w:sz w:val="26"/>
          <w:szCs w:val="26"/>
          <w:lang w:val="it-IT"/>
        </w:rPr>
      </w:pPr>
      <w:r w:rsidRPr="00010133">
        <w:rPr>
          <w:b/>
          <w:bCs/>
          <w:sz w:val="26"/>
          <w:szCs w:val="26"/>
          <w:lang w:val="it-IT"/>
        </w:rPr>
        <w:t>Đánh giá theo phương pháp đạt/không đạt:</w:t>
      </w:r>
    </w:p>
    <w:p w14:paraId="6678AB22" w14:textId="77777777" w:rsidR="000E62F2" w:rsidRPr="00010133" w:rsidRDefault="000E62F2" w:rsidP="004238DB">
      <w:pPr>
        <w:widowControl w:val="0"/>
        <w:autoSpaceDE w:val="0"/>
        <w:autoSpaceDN w:val="0"/>
        <w:adjustRightInd w:val="0"/>
        <w:ind w:right="-14" w:firstLine="720"/>
        <w:rPr>
          <w:sz w:val="26"/>
          <w:szCs w:val="26"/>
          <w:lang w:val="it-IT"/>
        </w:rPr>
      </w:pPr>
      <w:r w:rsidRPr="00010133">
        <w:rPr>
          <w:sz w:val="26"/>
          <w:szCs w:val="26"/>
          <w:lang w:val="it-IT"/>
        </w:rPr>
        <w:t>E-HSDT được đánh giá là đáp ứng yêu cầu về kỹ thuật khi có tất cả các tiêu chí đều được đánh giá là đạt. Việc đánh giá về kỹ thuật được thực hiện theo Bảng tiêu chuẩn dưới đây:</w:t>
      </w:r>
    </w:p>
    <w:tbl>
      <w:tblPr>
        <w:tblW w:w="9808" w:type="dxa"/>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588"/>
        <w:gridCol w:w="2679"/>
        <w:gridCol w:w="3150"/>
        <w:gridCol w:w="3391"/>
      </w:tblGrid>
      <w:tr w:rsidR="000E62F2" w:rsidRPr="00010133" w14:paraId="41EAB6C6" w14:textId="77777777" w:rsidTr="00837763">
        <w:trPr>
          <w:trHeight w:val="392"/>
          <w:tblHeader/>
        </w:trPr>
        <w:tc>
          <w:tcPr>
            <w:tcW w:w="588" w:type="dxa"/>
            <w:vMerge w:val="restart"/>
            <w:tcBorders>
              <w:top w:val="single" w:sz="4" w:space="0" w:color="auto"/>
            </w:tcBorders>
            <w:vAlign w:val="center"/>
          </w:tcPr>
          <w:p w14:paraId="3E4A21E6" w14:textId="77777777" w:rsidR="000E62F2" w:rsidRPr="00010133" w:rsidRDefault="000E62F2" w:rsidP="004238DB">
            <w:pPr>
              <w:jc w:val="center"/>
              <w:rPr>
                <w:b/>
                <w:sz w:val="26"/>
                <w:szCs w:val="26"/>
              </w:rPr>
            </w:pPr>
            <w:r w:rsidRPr="00010133">
              <w:rPr>
                <w:b/>
                <w:sz w:val="26"/>
                <w:szCs w:val="26"/>
              </w:rPr>
              <w:t>TT</w:t>
            </w:r>
          </w:p>
        </w:tc>
        <w:tc>
          <w:tcPr>
            <w:tcW w:w="2679" w:type="dxa"/>
            <w:vMerge w:val="restart"/>
            <w:tcBorders>
              <w:top w:val="single" w:sz="4" w:space="0" w:color="auto"/>
            </w:tcBorders>
            <w:vAlign w:val="center"/>
          </w:tcPr>
          <w:p w14:paraId="3D0359A2" w14:textId="77777777" w:rsidR="000E62F2" w:rsidRPr="00010133" w:rsidRDefault="000E62F2" w:rsidP="004238DB">
            <w:pPr>
              <w:jc w:val="center"/>
              <w:rPr>
                <w:b/>
                <w:sz w:val="26"/>
                <w:szCs w:val="26"/>
              </w:rPr>
            </w:pPr>
            <w:r w:rsidRPr="00010133">
              <w:rPr>
                <w:b/>
                <w:sz w:val="26"/>
                <w:szCs w:val="26"/>
              </w:rPr>
              <w:t>Nội dung yêu cầu</w:t>
            </w:r>
          </w:p>
        </w:tc>
        <w:tc>
          <w:tcPr>
            <w:tcW w:w="6541" w:type="dxa"/>
            <w:gridSpan w:val="2"/>
            <w:tcBorders>
              <w:top w:val="single" w:sz="4" w:space="0" w:color="auto"/>
            </w:tcBorders>
            <w:vAlign w:val="center"/>
          </w:tcPr>
          <w:p w14:paraId="449276F7" w14:textId="77777777" w:rsidR="000E62F2" w:rsidRPr="00010133" w:rsidRDefault="000E62F2" w:rsidP="004238DB">
            <w:pPr>
              <w:jc w:val="center"/>
              <w:rPr>
                <w:b/>
                <w:sz w:val="26"/>
                <w:szCs w:val="26"/>
              </w:rPr>
            </w:pPr>
            <w:r w:rsidRPr="00010133">
              <w:rPr>
                <w:b/>
                <w:sz w:val="26"/>
                <w:szCs w:val="26"/>
              </w:rPr>
              <w:t>Mức độ đáp ứng</w:t>
            </w:r>
          </w:p>
        </w:tc>
      </w:tr>
      <w:tr w:rsidR="000E62F2" w:rsidRPr="00010133" w14:paraId="3B161928" w14:textId="77777777" w:rsidTr="00837763">
        <w:trPr>
          <w:trHeight w:val="392"/>
          <w:tblHeader/>
        </w:trPr>
        <w:tc>
          <w:tcPr>
            <w:tcW w:w="588" w:type="dxa"/>
            <w:vMerge/>
            <w:vAlign w:val="center"/>
          </w:tcPr>
          <w:p w14:paraId="6472A9FC" w14:textId="77777777" w:rsidR="000E62F2" w:rsidRPr="00010133" w:rsidRDefault="000E62F2" w:rsidP="004238DB">
            <w:pPr>
              <w:suppressAutoHyphens/>
              <w:jc w:val="center"/>
              <w:outlineLvl w:val="0"/>
              <w:rPr>
                <w:sz w:val="26"/>
                <w:szCs w:val="26"/>
              </w:rPr>
            </w:pPr>
          </w:p>
        </w:tc>
        <w:tc>
          <w:tcPr>
            <w:tcW w:w="2679" w:type="dxa"/>
            <w:vMerge/>
            <w:vAlign w:val="center"/>
          </w:tcPr>
          <w:p w14:paraId="1DF02382" w14:textId="77777777" w:rsidR="000E62F2" w:rsidRPr="00010133" w:rsidRDefault="000E62F2" w:rsidP="004238DB">
            <w:pPr>
              <w:suppressAutoHyphens/>
              <w:jc w:val="center"/>
              <w:outlineLvl w:val="0"/>
              <w:rPr>
                <w:sz w:val="26"/>
                <w:szCs w:val="26"/>
              </w:rPr>
            </w:pPr>
          </w:p>
        </w:tc>
        <w:tc>
          <w:tcPr>
            <w:tcW w:w="3150" w:type="dxa"/>
            <w:vAlign w:val="center"/>
          </w:tcPr>
          <w:p w14:paraId="208EE87A" w14:textId="77777777" w:rsidR="000E62F2" w:rsidRPr="00010133" w:rsidRDefault="000E62F2" w:rsidP="004238DB">
            <w:pPr>
              <w:jc w:val="center"/>
              <w:rPr>
                <w:b/>
                <w:sz w:val="26"/>
                <w:szCs w:val="26"/>
              </w:rPr>
            </w:pPr>
            <w:r w:rsidRPr="00010133">
              <w:rPr>
                <w:b/>
                <w:sz w:val="26"/>
                <w:szCs w:val="26"/>
              </w:rPr>
              <w:t>Đạt</w:t>
            </w:r>
          </w:p>
        </w:tc>
        <w:tc>
          <w:tcPr>
            <w:tcW w:w="3391" w:type="dxa"/>
            <w:vAlign w:val="center"/>
          </w:tcPr>
          <w:p w14:paraId="25795748" w14:textId="77777777" w:rsidR="000E62F2" w:rsidRPr="00010133" w:rsidRDefault="000E62F2" w:rsidP="004238DB">
            <w:pPr>
              <w:jc w:val="center"/>
              <w:rPr>
                <w:b/>
                <w:sz w:val="26"/>
                <w:szCs w:val="26"/>
              </w:rPr>
            </w:pPr>
            <w:r w:rsidRPr="00010133">
              <w:rPr>
                <w:b/>
                <w:sz w:val="26"/>
                <w:szCs w:val="26"/>
              </w:rPr>
              <w:t>Không đạt</w:t>
            </w:r>
          </w:p>
        </w:tc>
      </w:tr>
      <w:tr w:rsidR="000E62F2" w:rsidRPr="00010133" w14:paraId="25CF8F54" w14:textId="77777777" w:rsidTr="00837763">
        <w:trPr>
          <w:trHeight w:val="392"/>
        </w:trPr>
        <w:tc>
          <w:tcPr>
            <w:tcW w:w="588" w:type="dxa"/>
          </w:tcPr>
          <w:p w14:paraId="59CFEF9E" w14:textId="77777777" w:rsidR="000E62F2" w:rsidRPr="00010133" w:rsidRDefault="000E62F2" w:rsidP="004238DB">
            <w:pPr>
              <w:jc w:val="center"/>
              <w:rPr>
                <w:sz w:val="26"/>
                <w:szCs w:val="26"/>
              </w:rPr>
            </w:pPr>
            <w:r w:rsidRPr="00010133">
              <w:rPr>
                <w:sz w:val="26"/>
                <w:szCs w:val="26"/>
              </w:rPr>
              <w:t>(1)</w:t>
            </w:r>
          </w:p>
        </w:tc>
        <w:tc>
          <w:tcPr>
            <w:tcW w:w="2679" w:type="dxa"/>
          </w:tcPr>
          <w:p w14:paraId="1928634E" w14:textId="77777777" w:rsidR="000E62F2" w:rsidRPr="00010133" w:rsidRDefault="000E62F2" w:rsidP="004238DB">
            <w:pPr>
              <w:jc w:val="center"/>
              <w:rPr>
                <w:sz w:val="26"/>
                <w:szCs w:val="26"/>
              </w:rPr>
            </w:pPr>
            <w:r w:rsidRPr="00010133">
              <w:rPr>
                <w:sz w:val="26"/>
                <w:szCs w:val="26"/>
              </w:rPr>
              <w:t>(2)</w:t>
            </w:r>
          </w:p>
        </w:tc>
        <w:tc>
          <w:tcPr>
            <w:tcW w:w="3150" w:type="dxa"/>
          </w:tcPr>
          <w:p w14:paraId="3D76782F" w14:textId="77777777" w:rsidR="000E62F2" w:rsidRPr="00010133" w:rsidRDefault="000E62F2" w:rsidP="004238DB">
            <w:pPr>
              <w:jc w:val="center"/>
              <w:rPr>
                <w:sz w:val="26"/>
                <w:szCs w:val="26"/>
              </w:rPr>
            </w:pPr>
            <w:r w:rsidRPr="00010133">
              <w:rPr>
                <w:sz w:val="26"/>
                <w:szCs w:val="26"/>
              </w:rPr>
              <w:t>(3)</w:t>
            </w:r>
          </w:p>
        </w:tc>
        <w:tc>
          <w:tcPr>
            <w:tcW w:w="3391" w:type="dxa"/>
          </w:tcPr>
          <w:p w14:paraId="04ED7C8B" w14:textId="77777777" w:rsidR="000E62F2" w:rsidRPr="00010133" w:rsidRDefault="000E62F2" w:rsidP="004238DB">
            <w:pPr>
              <w:jc w:val="center"/>
              <w:rPr>
                <w:sz w:val="26"/>
                <w:szCs w:val="26"/>
              </w:rPr>
            </w:pPr>
            <w:r w:rsidRPr="00010133">
              <w:rPr>
                <w:sz w:val="26"/>
                <w:szCs w:val="26"/>
              </w:rPr>
              <w:t>(4)</w:t>
            </w:r>
          </w:p>
        </w:tc>
      </w:tr>
      <w:tr w:rsidR="000E62F2" w:rsidRPr="00010133" w14:paraId="3255469A" w14:textId="77777777" w:rsidTr="00837763">
        <w:trPr>
          <w:trHeight w:val="392"/>
        </w:trPr>
        <w:tc>
          <w:tcPr>
            <w:tcW w:w="588" w:type="dxa"/>
            <w:vAlign w:val="center"/>
          </w:tcPr>
          <w:p w14:paraId="26BA5126" w14:textId="77777777" w:rsidR="000E62F2" w:rsidRPr="00010133" w:rsidRDefault="000E62F2" w:rsidP="004238DB">
            <w:pPr>
              <w:jc w:val="center"/>
              <w:rPr>
                <w:sz w:val="26"/>
                <w:szCs w:val="26"/>
              </w:rPr>
            </w:pPr>
            <w:r w:rsidRPr="00010133">
              <w:rPr>
                <w:sz w:val="26"/>
                <w:szCs w:val="26"/>
              </w:rPr>
              <w:t>1</w:t>
            </w:r>
          </w:p>
        </w:tc>
        <w:tc>
          <w:tcPr>
            <w:tcW w:w="2679" w:type="dxa"/>
            <w:vAlign w:val="center"/>
          </w:tcPr>
          <w:p w14:paraId="54C7EB28" w14:textId="77777777" w:rsidR="000E62F2" w:rsidRPr="00010133" w:rsidRDefault="000E62F2" w:rsidP="004238DB">
            <w:pPr>
              <w:rPr>
                <w:sz w:val="26"/>
                <w:szCs w:val="26"/>
                <w:shd w:val="clear" w:color="auto" w:fill="FFFFFF"/>
              </w:rPr>
            </w:pPr>
            <w:r w:rsidRPr="00010133">
              <w:rPr>
                <w:sz w:val="26"/>
                <w:szCs w:val="26"/>
                <w:shd w:val="clear" w:color="auto" w:fill="FFFFFF"/>
              </w:rPr>
              <w:t>Phạm vi cung cấp hàng hóa, đặc tính, thông số kỹ thuật của hàng hóa, tiêu chuẩn sản xuất, chất lượng của hàng hóa</w:t>
            </w:r>
          </w:p>
        </w:tc>
        <w:tc>
          <w:tcPr>
            <w:tcW w:w="3150" w:type="dxa"/>
            <w:vAlign w:val="center"/>
          </w:tcPr>
          <w:p w14:paraId="14953AE5" w14:textId="77777777" w:rsidR="000E62F2" w:rsidRPr="00010133" w:rsidRDefault="000E62F2" w:rsidP="004238DB">
            <w:pPr>
              <w:rPr>
                <w:sz w:val="26"/>
                <w:szCs w:val="26"/>
                <w:shd w:val="clear" w:color="auto" w:fill="FFFFFF"/>
              </w:rPr>
            </w:pPr>
            <w:r w:rsidRPr="00010133">
              <w:rPr>
                <w:sz w:val="26"/>
                <w:szCs w:val="26"/>
                <w:shd w:val="clear" w:color="auto" w:fill="FFFFFF"/>
              </w:rPr>
              <w:t xml:space="preserve">- Số lượng, chủng loại hàng hóa cung cấp đáp ứng đầy đủ theo yêu cầu nêu tại bảng PHẠM VI CUNG CẤP - Mẫu số 01A (webform trên Hệ thống) </w:t>
            </w:r>
          </w:p>
          <w:p w14:paraId="3C01231B" w14:textId="77777777" w:rsidR="000E62F2" w:rsidRPr="00010133" w:rsidRDefault="000E62F2" w:rsidP="004238DB">
            <w:pPr>
              <w:rPr>
                <w:sz w:val="26"/>
                <w:szCs w:val="26"/>
                <w:shd w:val="clear" w:color="auto" w:fill="FFFFFF"/>
              </w:rPr>
            </w:pPr>
            <w:r w:rsidRPr="00010133">
              <w:rPr>
                <w:sz w:val="26"/>
                <w:szCs w:val="26"/>
                <w:shd w:val="clear" w:color="auto" w:fill="FFFFFF"/>
              </w:rPr>
              <w:t>- Hàng hóa có đặc tính, thông số kỹ thuật, tiêu chuẩn sản xuất, tiêu chuẩn chế tạo và công nghệ hoàn toàn phù hợp đáp ứng yêu cầu cơ bản về kỹ thuật quy định tại Chương V. Yêu cầu kỹ thuật của E-HSMT.</w:t>
            </w:r>
          </w:p>
        </w:tc>
        <w:tc>
          <w:tcPr>
            <w:tcW w:w="3391" w:type="dxa"/>
            <w:vAlign w:val="center"/>
          </w:tcPr>
          <w:p w14:paraId="12AC9A54" w14:textId="77777777" w:rsidR="000E62F2" w:rsidRPr="00010133" w:rsidRDefault="000E62F2" w:rsidP="004238DB">
            <w:pPr>
              <w:rPr>
                <w:sz w:val="26"/>
                <w:szCs w:val="26"/>
                <w:shd w:val="clear" w:color="auto" w:fill="FFFFFF"/>
              </w:rPr>
            </w:pPr>
            <w:r w:rsidRPr="00010133">
              <w:rPr>
                <w:sz w:val="26"/>
                <w:szCs w:val="26"/>
                <w:shd w:val="clear" w:color="auto" w:fill="FFFFFF"/>
              </w:rPr>
              <w:t>- Số lượng, chủng loại hàng hóa cung cấp không đầy đủ theo yêu cầu nêu tại bảng PHẠM VI CUNG CẤP - Mẫu số 01A (webform trên Hệ thống)</w:t>
            </w:r>
          </w:p>
          <w:p w14:paraId="02A941FD" w14:textId="77777777" w:rsidR="000E62F2" w:rsidRPr="00010133" w:rsidRDefault="000E62F2" w:rsidP="004238DB">
            <w:pPr>
              <w:rPr>
                <w:sz w:val="26"/>
                <w:szCs w:val="26"/>
                <w:shd w:val="clear" w:color="auto" w:fill="FFFFFF"/>
              </w:rPr>
            </w:pPr>
            <w:r w:rsidRPr="00010133">
              <w:rPr>
                <w:sz w:val="26"/>
                <w:szCs w:val="26"/>
                <w:shd w:val="clear" w:color="auto" w:fill="FFFFFF"/>
              </w:rPr>
              <w:t>- Có bất kỳ một hàng hóa có đặc tính, thông số kỹ thuật, tiêu chuẩn sản xuất, tiêu chuẩn chế tạo và công nghệ không phù hợp đáp ứng yêu cầu cơ bản về kỹ thuật quy định tại Chương V. Yêu cầu kỹ thuật của E-HSMT.</w:t>
            </w:r>
          </w:p>
        </w:tc>
      </w:tr>
      <w:tr w:rsidR="000E62F2" w:rsidRPr="00010133" w14:paraId="6D143E65" w14:textId="77777777" w:rsidTr="00837763">
        <w:trPr>
          <w:trHeight w:val="392"/>
        </w:trPr>
        <w:tc>
          <w:tcPr>
            <w:tcW w:w="588" w:type="dxa"/>
            <w:vAlign w:val="center"/>
          </w:tcPr>
          <w:p w14:paraId="0C824490" w14:textId="77777777" w:rsidR="000E62F2" w:rsidRPr="00010133" w:rsidRDefault="000E62F2" w:rsidP="004238DB">
            <w:pPr>
              <w:jc w:val="center"/>
              <w:rPr>
                <w:sz w:val="26"/>
                <w:szCs w:val="26"/>
              </w:rPr>
            </w:pPr>
            <w:r w:rsidRPr="00010133">
              <w:rPr>
                <w:sz w:val="26"/>
                <w:szCs w:val="26"/>
              </w:rPr>
              <w:t>2</w:t>
            </w:r>
          </w:p>
        </w:tc>
        <w:tc>
          <w:tcPr>
            <w:tcW w:w="2679" w:type="dxa"/>
            <w:vAlign w:val="center"/>
          </w:tcPr>
          <w:p w14:paraId="7C8CFEC8" w14:textId="77777777" w:rsidR="000E62F2" w:rsidRPr="00010133" w:rsidRDefault="000E62F2" w:rsidP="004238DB">
            <w:pPr>
              <w:rPr>
                <w:sz w:val="26"/>
                <w:szCs w:val="26"/>
              </w:rPr>
            </w:pPr>
            <w:r w:rsidRPr="00010133">
              <w:rPr>
                <w:sz w:val="26"/>
                <w:szCs w:val="26"/>
                <w:shd w:val="clear" w:color="auto" w:fill="FFFFFF"/>
              </w:rPr>
              <w:t>Giải pháp cung cấp</w:t>
            </w:r>
          </w:p>
        </w:tc>
        <w:tc>
          <w:tcPr>
            <w:tcW w:w="3150" w:type="dxa"/>
          </w:tcPr>
          <w:p w14:paraId="481740E2" w14:textId="77777777" w:rsidR="000E62F2" w:rsidRPr="00010133" w:rsidRDefault="000E62F2" w:rsidP="004238DB">
            <w:pPr>
              <w:rPr>
                <w:sz w:val="26"/>
                <w:szCs w:val="26"/>
                <w:shd w:val="clear" w:color="auto" w:fill="FFFFFF"/>
              </w:rPr>
            </w:pPr>
            <w:r w:rsidRPr="00010133">
              <w:rPr>
                <w:sz w:val="26"/>
                <w:szCs w:val="26"/>
                <w:shd w:val="clear" w:color="auto" w:fill="FFFFFF"/>
              </w:rPr>
              <w:t>Có giải pháp tổ chức cung cấp hàng hóa hợp lý và phù hợp với yêu cầu kỹ thuật tại Chương V của E- HSMT.</w:t>
            </w:r>
          </w:p>
        </w:tc>
        <w:tc>
          <w:tcPr>
            <w:tcW w:w="3391" w:type="dxa"/>
          </w:tcPr>
          <w:p w14:paraId="3F20EC41" w14:textId="77777777" w:rsidR="000E62F2" w:rsidRPr="00010133" w:rsidRDefault="000E62F2" w:rsidP="004238DB">
            <w:pPr>
              <w:rPr>
                <w:sz w:val="26"/>
                <w:szCs w:val="26"/>
                <w:shd w:val="clear" w:color="auto" w:fill="FFFFFF"/>
              </w:rPr>
            </w:pPr>
            <w:r w:rsidRPr="00010133">
              <w:rPr>
                <w:sz w:val="26"/>
                <w:szCs w:val="26"/>
                <w:shd w:val="clear" w:color="auto" w:fill="FFFFFF"/>
              </w:rPr>
              <w:t>Không có giải pháp hoặc có giải pháp tổ chức cung cấp hàng hóa không hợp lý, không phù hợp với yêu cầu kỹ thuật tại Chương V của E- HSMT.</w:t>
            </w:r>
          </w:p>
        </w:tc>
      </w:tr>
      <w:tr w:rsidR="000E62F2" w:rsidRPr="00010133" w14:paraId="32D3AF7A" w14:textId="77777777" w:rsidTr="00837763">
        <w:trPr>
          <w:trHeight w:val="392"/>
        </w:trPr>
        <w:tc>
          <w:tcPr>
            <w:tcW w:w="588" w:type="dxa"/>
            <w:vAlign w:val="center"/>
          </w:tcPr>
          <w:p w14:paraId="3CAA9F27" w14:textId="77777777" w:rsidR="000E62F2" w:rsidRPr="00010133" w:rsidRDefault="000E62F2" w:rsidP="004238DB">
            <w:pPr>
              <w:jc w:val="center"/>
              <w:rPr>
                <w:sz w:val="26"/>
                <w:szCs w:val="26"/>
              </w:rPr>
            </w:pPr>
            <w:r w:rsidRPr="00010133">
              <w:rPr>
                <w:sz w:val="26"/>
                <w:szCs w:val="26"/>
              </w:rPr>
              <w:t>3</w:t>
            </w:r>
          </w:p>
        </w:tc>
        <w:tc>
          <w:tcPr>
            <w:tcW w:w="2679" w:type="dxa"/>
            <w:vAlign w:val="center"/>
          </w:tcPr>
          <w:p w14:paraId="78A87BBF" w14:textId="1FBB959D" w:rsidR="000E62F2" w:rsidRPr="00010133" w:rsidRDefault="000E62F2" w:rsidP="004238DB">
            <w:pPr>
              <w:ind w:right="114"/>
              <w:rPr>
                <w:rFonts w:asciiTheme="majorHAnsi" w:hAnsiTheme="majorHAnsi" w:cstheme="majorHAnsi"/>
                <w:sz w:val="26"/>
                <w:szCs w:val="26"/>
                <w:shd w:val="clear" w:color="auto" w:fill="FFFFFF"/>
              </w:rPr>
            </w:pPr>
            <w:r w:rsidRPr="00010133">
              <w:rPr>
                <w:rFonts w:asciiTheme="majorHAnsi" w:hAnsiTheme="majorHAnsi" w:cstheme="majorHAnsi"/>
                <w:sz w:val="26"/>
                <w:szCs w:val="26"/>
                <w:shd w:val="clear" w:color="auto" w:fill="FFFFFF"/>
              </w:rPr>
              <w:t>Các yếu tố về điều kiện thương mại, đào tạo, chuyển giao</w:t>
            </w:r>
          </w:p>
          <w:p w14:paraId="72A053C2" w14:textId="77777777" w:rsidR="000E62F2" w:rsidRPr="00010133" w:rsidRDefault="000E62F2" w:rsidP="004238DB">
            <w:pPr>
              <w:rPr>
                <w:sz w:val="26"/>
                <w:szCs w:val="26"/>
                <w:shd w:val="clear" w:color="auto" w:fill="FFFFFF"/>
              </w:rPr>
            </w:pPr>
          </w:p>
        </w:tc>
        <w:tc>
          <w:tcPr>
            <w:tcW w:w="3150" w:type="dxa"/>
            <w:vAlign w:val="center"/>
          </w:tcPr>
          <w:p w14:paraId="0BBA1F9B" w14:textId="4A1788E3" w:rsidR="000E62F2" w:rsidRPr="00010133" w:rsidRDefault="000E62F2" w:rsidP="004238DB">
            <w:pPr>
              <w:ind w:right="114"/>
              <w:rPr>
                <w:rFonts w:asciiTheme="majorHAnsi" w:hAnsiTheme="majorHAnsi" w:cstheme="majorHAnsi"/>
                <w:sz w:val="26"/>
                <w:szCs w:val="26"/>
                <w:shd w:val="clear" w:color="auto" w:fill="FFFFFF"/>
              </w:rPr>
            </w:pPr>
            <w:r w:rsidRPr="00010133">
              <w:rPr>
                <w:rFonts w:asciiTheme="majorHAnsi" w:hAnsiTheme="majorHAnsi" w:cstheme="majorHAnsi"/>
                <w:sz w:val="26"/>
                <w:szCs w:val="26"/>
                <w:shd w:val="clear" w:color="auto" w:fill="FFFFFF"/>
              </w:rPr>
              <w:t>Có thuyết minh chi tiết điều kiện thương mại.</w:t>
            </w:r>
          </w:p>
          <w:p w14:paraId="7E5B46F6" w14:textId="1D97677C" w:rsidR="000E62F2" w:rsidRPr="00010133" w:rsidRDefault="005C17A0" w:rsidP="004238DB">
            <w:pPr>
              <w:rPr>
                <w:sz w:val="26"/>
                <w:szCs w:val="26"/>
                <w:shd w:val="clear" w:color="auto" w:fill="FFFFFF"/>
              </w:rPr>
            </w:pPr>
            <w:r w:rsidRPr="004F7EC1">
              <w:rPr>
                <w:sz w:val="26"/>
                <w:szCs w:val="26"/>
                <w:shd w:val="clear" w:color="auto" w:fill="FFFFFF"/>
              </w:rPr>
              <w:t>Có cam kết và thuyết minh tổ chức hướng dẫn, chuyển giao kinh nghiệm chăm sóc cây</w:t>
            </w:r>
            <w:r>
              <w:rPr>
                <w:sz w:val="26"/>
                <w:szCs w:val="26"/>
                <w:shd w:val="clear" w:color="auto" w:fill="FFFFFF"/>
              </w:rPr>
              <w:t xml:space="preserve"> và sử dụng phân bón</w:t>
            </w:r>
          </w:p>
        </w:tc>
        <w:tc>
          <w:tcPr>
            <w:tcW w:w="3391" w:type="dxa"/>
            <w:vAlign w:val="center"/>
          </w:tcPr>
          <w:p w14:paraId="07F4AD4F" w14:textId="77777777" w:rsidR="005C17A0" w:rsidRDefault="000E62F2" w:rsidP="004238DB">
            <w:pPr>
              <w:rPr>
                <w:rFonts w:asciiTheme="majorHAnsi" w:hAnsiTheme="majorHAnsi" w:cstheme="majorHAnsi"/>
                <w:sz w:val="26"/>
                <w:szCs w:val="26"/>
                <w:shd w:val="clear" w:color="auto" w:fill="FFFFFF"/>
              </w:rPr>
            </w:pPr>
            <w:r w:rsidRPr="00010133">
              <w:rPr>
                <w:rFonts w:asciiTheme="majorHAnsi" w:hAnsiTheme="majorHAnsi" w:cstheme="majorHAnsi"/>
                <w:sz w:val="26"/>
                <w:szCs w:val="26"/>
                <w:shd w:val="clear" w:color="auto" w:fill="FFFFFF"/>
              </w:rPr>
              <w:t xml:space="preserve">Không có thuyết minh </w:t>
            </w:r>
            <w:r w:rsidR="005C17A0">
              <w:rPr>
                <w:rFonts w:asciiTheme="majorHAnsi" w:hAnsiTheme="majorHAnsi" w:cstheme="majorHAnsi"/>
                <w:sz w:val="26"/>
                <w:szCs w:val="26"/>
                <w:shd w:val="clear" w:color="auto" w:fill="FFFFFF"/>
              </w:rPr>
              <w:t>v</w:t>
            </w:r>
            <w:r w:rsidRPr="00010133">
              <w:rPr>
                <w:rFonts w:asciiTheme="majorHAnsi" w:hAnsiTheme="majorHAnsi" w:cstheme="majorHAnsi"/>
                <w:sz w:val="26"/>
                <w:szCs w:val="26"/>
                <w:shd w:val="clear" w:color="auto" w:fill="FFFFFF"/>
              </w:rPr>
              <w:t>ề điều kiện thương mại</w:t>
            </w:r>
            <w:r w:rsidR="005C17A0">
              <w:rPr>
                <w:rFonts w:asciiTheme="majorHAnsi" w:hAnsiTheme="majorHAnsi" w:cstheme="majorHAnsi"/>
                <w:sz w:val="26"/>
                <w:szCs w:val="26"/>
                <w:shd w:val="clear" w:color="auto" w:fill="FFFFFF"/>
              </w:rPr>
              <w:t>.</w:t>
            </w:r>
          </w:p>
          <w:p w14:paraId="0EBE3A6A" w14:textId="3A1CBBB1" w:rsidR="000E62F2" w:rsidRPr="00010133" w:rsidRDefault="005C17A0" w:rsidP="004238DB">
            <w:pPr>
              <w:rPr>
                <w:sz w:val="26"/>
                <w:szCs w:val="26"/>
                <w:shd w:val="clear" w:color="auto" w:fill="FFFFFF"/>
              </w:rPr>
            </w:pPr>
            <w:r w:rsidRPr="004F7EC1">
              <w:rPr>
                <w:sz w:val="26"/>
                <w:szCs w:val="26"/>
                <w:shd w:val="clear" w:color="auto" w:fill="FFFFFF"/>
              </w:rPr>
              <w:t>Không có cam kết hoặc không có thuyết minh tổ chức hướng dẫn, chuyển giao kinh nghiệm chăm sóc cây</w:t>
            </w:r>
            <w:r w:rsidR="00C22241">
              <w:rPr>
                <w:sz w:val="26"/>
                <w:szCs w:val="26"/>
                <w:shd w:val="clear" w:color="auto" w:fill="FFFFFF"/>
              </w:rPr>
              <w:t xml:space="preserve"> và sử dụng phân bón</w:t>
            </w:r>
            <w:r w:rsidR="000E62F2" w:rsidRPr="00010133">
              <w:rPr>
                <w:rFonts w:asciiTheme="majorHAnsi" w:hAnsiTheme="majorHAnsi" w:cstheme="majorHAnsi"/>
                <w:sz w:val="26"/>
                <w:szCs w:val="26"/>
                <w:shd w:val="clear" w:color="auto" w:fill="FFFFFF"/>
              </w:rPr>
              <w:t xml:space="preserve"> </w:t>
            </w:r>
          </w:p>
        </w:tc>
      </w:tr>
      <w:tr w:rsidR="000E62F2" w:rsidRPr="00535332" w14:paraId="3A2C15D6" w14:textId="77777777" w:rsidTr="00837763">
        <w:tblPrEx>
          <w:tblBorders>
            <w:insideH w:val="single" w:sz="4" w:space="0" w:color="auto"/>
            <w:insideV w:val="single" w:sz="4" w:space="0" w:color="auto"/>
          </w:tblBorders>
          <w:tblCellMar>
            <w:left w:w="108" w:type="dxa"/>
            <w:right w:w="108" w:type="dxa"/>
          </w:tblCellMar>
        </w:tblPrEx>
        <w:trPr>
          <w:trHeight w:val="397"/>
        </w:trPr>
        <w:tc>
          <w:tcPr>
            <w:tcW w:w="588" w:type="dxa"/>
            <w:vAlign w:val="center"/>
          </w:tcPr>
          <w:p w14:paraId="7DFFB348" w14:textId="77777777" w:rsidR="000E62F2" w:rsidRPr="00010133" w:rsidRDefault="000E62F2" w:rsidP="004238DB">
            <w:pPr>
              <w:jc w:val="center"/>
              <w:rPr>
                <w:sz w:val="26"/>
                <w:szCs w:val="26"/>
              </w:rPr>
            </w:pPr>
            <w:r w:rsidRPr="00010133">
              <w:rPr>
                <w:sz w:val="26"/>
                <w:szCs w:val="26"/>
              </w:rPr>
              <w:t>4</w:t>
            </w:r>
          </w:p>
        </w:tc>
        <w:tc>
          <w:tcPr>
            <w:tcW w:w="2679" w:type="dxa"/>
            <w:vAlign w:val="center"/>
          </w:tcPr>
          <w:p w14:paraId="558DDACC" w14:textId="77777777" w:rsidR="000E62F2" w:rsidRPr="00010133" w:rsidRDefault="000E62F2" w:rsidP="004238DB">
            <w:pPr>
              <w:rPr>
                <w:sz w:val="26"/>
                <w:szCs w:val="26"/>
                <w:lang w:val="it-IT"/>
              </w:rPr>
            </w:pPr>
            <w:r w:rsidRPr="00010133">
              <w:rPr>
                <w:sz w:val="26"/>
                <w:szCs w:val="26"/>
                <w:shd w:val="clear" w:color="auto" w:fill="FFFFFF"/>
              </w:rPr>
              <w:t>Tiến độ cung cấp hàng hóa</w:t>
            </w:r>
          </w:p>
        </w:tc>
        <w:tc>
          <w:tcPr>
            <w:tcW w:w="3150" w:type="dxa"/>
            <w:vAlign w:val="center"/>
          </w:tcPr>
          <w:p w14:paraId="3E0FB7E0" w14:textId="4CE96AF8" w:rsidR="000E62F2" w:rsidRPr="00010133" w:rsidRDefault="000E62F2" w:rsidP="004238DB">
            <w:pPr>
              <w:rPr>
                <w:sz w:val="26"/>
                <w:szCs w:val="26"/>
                <w:lang w:val="it-IT"/>
              </w:rPr>
            </w:pPr>
            <w:r w:rsidRPr="00010133">
              <w:rPr>
                <w:sz w:val="26"/>
                <w:szCs w:val="26"/>
                <w:lang w:val="it-IT"/>
              </w:rPr>
              <w:t xml:space="preserve">- Thời gian thực hiện gói thầu ≤ </w:t>
            </w:r>
            <w:r w:rsidR="00922BD0">
              <w:rPr>
                <w:sz w:val="26"/>
                <w:szCs w:val="26"/>
                <w:lang w:val="it-IT"/>
              </w:rPr>
              <w:t>35</w:t>
            </w:r>
            <w:r w:rsidRPr="00010133">
              <w:rPr>
                <w:sz w:val="26"/>
                <w:szCs w:val="26"/>
                <w:lang w:val="it-IT"/>
              </w:rPr>
              <w:t xml:space="preserve"> ngày</w:t>
            </w:r>
          </w:p>
        </w:tc>
        <w:tc>
          <w:tcPr>
            <w:tcW w:w="3391" w:type="dxa"/>
            <w:vAlign w:val="center"/>
          </w:tcPr>
          <w:p w14:paraId="7C0DD833" w14:textId="439C6AE2" w:rsidR="000E62F2" w:rsidRPr="00010133" w:rsidRDefault="000E62F2" w:rsidP="004238DB">
            <w:pPr>
              <w:tabs>
                <w:tab w:val="num" w:pos="980"/>
              </w:tabs>
              <w:rPr>
                <w:sz w:val="26"/>
                <w:szCs w:val="26"/>
                <w:lang w:val="it-IT"/>
              </w:rPr>
            </w:pPr>
            <w:r w:rsidRPr="00010133">
              <w:rPr>
                <w:sz w:val="26"/>
                <w:szCs w:val="26"/>
                <w:lang w:val="it-IT"/>
              </w:rPr>
              <w:t xml:space="preserve">- Thời gian thực hiện gói thầu &gt; </w:t>
            </w:r>
            <w:r w:rsidR="00922BD0">
              <w:rPr>
                <w:sz w:val="26"/>
                <w:szCs w:val="26"/>
                <w:lang w:val="it-IT"/>
              </w:rPr>
              <w:t>35</w:t>
            </w:r>
            <w:r w:rsidRPr="00010133">
              <w:rPr>
                <w:sz w:val="26"/>
                <w:szCs w:val="26"/>
                <w:lang w:val="it-IT"/>
              </w:rPr>
              <w:t xml:space="preserve"> ngày</w:t>
            </w:r>
          </w:p>
        </w:tc>
      </w:tr>
      <w:tr w:rsidR="00BA66A5" w:rsidRPr="00535332" w14:paraId="2146AE1B" w14:textId="77777777" w:rsidTr="00837763">
        <w:tblPrEx>
          <w:tblBorders>
            <w:insideH w:val="single" w:sz="4" w:space="0" w:color="auto"/>
            <w:insideV w:val="single" w:sz="4" w:space="0" w:color="auto"/>
          </w:tblBorders>
          <w:tblCellMar>
            <w:left w:w="108" w:type="dxa"/>
            <w:right w:w="108" w:type="dxa"/>
          </w:tblCellMar>
        </w:tblPrEx>
        <w:trPr>
          <w:trHeight w:val="397"/>
        </w:trPr>
        <w:tc>
          <w:tcPr>
            <w:tcW w:w="588" w:type="dxa"/>
            <w:vAlign w:val="center"/>
          </w:tcPr>
          <w:p w14:paraId="484E8F94" w14:textId="77777777" w:rsidR="00BA66A5" w:rsidRPr="00010133" w:rsidRDefault="00BA66A5" w:rsidP="00BA66A5">
            <w:pPr>
              <w:jc w:val="center"/>
              <w:rPr>
                <w:sz w:val="26"/>
                <w:szCs w:val="26"/>
              </w:rPr>
            </w:pPr>
            <w:r w:rsidRPr="00010133">
              <w:rPr>
                <w:sz w:val="26"/>
                <w:szCs w:val="26"/>
              </w:rPr>
              <w:t>5</w:t>
            </w:r>
          </w:p>
        </w:tc>
        <w:tc>
          <w:tcPr>
            <w:tcW w:w="2679" w:type="dxa"/>
            <w:vAlign w:val="center"/>
          </w:tcPr>
          <w:p w14:paraId="08E6FCA2" w14:textId="0048F866" w:rsidR="00BA66A5" w:rsidRPr="00010133" w:rsidRDefault="00BA66A5" w:rsidP="00BA66A5">
            <w:pPr>
              <w:rPr>
                <w:sz w:val="26"/>
                <w:szCs w:val="26"/>
                <w:shd w:val="clear" w:color="auto" w:fill="FFFFFF"/>
              </w:rPr>
            </w:pPr>
            <w:r w:rsidRPr="004F7EC1">
              <w:rPr>
                <w:sz w:val="26"/>
                <w:szCs w:val="26"/>
                <w:lang w:val="it-IT"/>
              </w:rPr>
              <w:t>Thời gian Bảo hành</w:t>
            </w:r>
          </w:p>
        </w:tc>
        <w:tc>
          <w:tcPr>
            <w:tcW w:w="3150" w:type="dxa"/>
            <w:vAlign w:val="center"/>
          </w:tcPr>
          <w:p w14:paraId="20767A7E" w14:textId="3CF0ED40" w:rsidR="00BA66A5" w:rsidRPr="00010133" w:rsidRDefault="00BA66A5" w:rsidP="00BA66A5">
            <w:pPr>
              <w:rPr>
                <w:sz w:val="26"/>
                <w:szCs w:val="26"/>
                <w:lang w:val="it-IT"/>
              </w:rPr>
            </w:pPr>
            <w:r w:rsidRPr="004F7EC1">
              <w:rPr>
                <w:sz w:val="26"/>
                <w:szCs w:val="26"/>
                <w:lang w:val="it-IT"/>
              </w:rPr>
              <w:t>Thời gian bảo hành đáp ứng cao hơn hoặc bằng yêu cầu bảo hành được nêu tại chương V</w:t>
            </w:r>
          </w:p>
        </w:tc>
        <w:tc>
          <w:tcPr>
            <w:tcW w:w="3391" w:type="dxa"/>
            <w:vAlign w:val="center"/>
          </w:tcPr>
          <w:p w14:paraId="7C45EA9E" w14:textId="53453CD3" w:rsidR="00BA66A5" w:rsidRPr="00010133" w:rsidRDefault="00BA66A5" w:rsidP="00BA66A5">
            <w:pPr>
              <w:tabs>
                <w:tab w:val="num" w:pos="980"/>
              </w:tabs>
              <w:rPr>
                <w:sz w:val="26"/>
                <w:szCs w:val="26"/>
                <w:lang w:val="it-IT"/>
              </w:rPr>
            </w:pPr>
            <w:r w:rsidRPr="004F7EC1">
              <w:rPr>
                <w:sz w:val="26"/>
                <w:szCs w:val="26"/>
                <w:lang w:val="it-IT"/>
              </w:rPr>
              <w:t>Thời gian bảo hành đáp ứng thấp hơn yêu cầu bảo hành được nêu tại chương V</w:t>
            </w:r>
          </w:p>
        </w:tc>
      </w:tr>
      <w:tr w:rsidR="00922BD0" w:rsidRPr="00010133" w14:paraId="68113BD0" w14:textId="77777777" w:rsidTr="00837763">
        <w:tblPrEx>
          <w:tblBorders>
            <w:insideH w:val="single" w:sz="4" w:space="0" w:color="auto"/>
            <w:insideV w:val="single" w:sz="4" w:space="0" w:color="auto"/>
          </w:tblBorders>
          <w:tblCellMar>
            <w:left w:w="108" w:type="dxa"/>
            <w:right w:w="108" w:type="dxa"/>
          </w:tblCellMar>
        </w:tblPrEx>
        <w:trPr>
          <w:trHeight w:val="1466"/>
        </w:trPr>
        <w:tc>
          <w:tcPr>
            <w:tcW w:w="588" w:type="dxa"/>
            <w:vAlign w:val="center"/>
          </w:tcPr>
          <w:p w14:paraId="2F91FB48" w14:textId="77777777" w:rsidR="00922BD0" w:rsidRPr="00010133" w:rsidRDefault="00922BD0" w:rsidP="00922BD0">
            <w:pPr>
              <w:jc w:val="center"/>
              <w:rPr>
                <w:sz w:val="26"/>
                <w:szCs w:val="26"/>
              </w:rPr>
            </w:pPr>
            <w:r w:rsidRPr="00010133">
              <w:rPr>
                <w:sz w:val="26"/>
                <w:szCs w:val="26"/>
              </w:rPr>
              <w:t>6</w:t>
            </w:r>
          </w:p>
        </w:tc>
        <w:tc>
          <w:tcPr>
            <w:tcW w:w="2679" w:type="dxa"/>
            <w:vAlign w:val="center"/>
          </w:tcPr>
          <w:p w14:paraId="0E61B8D9" w14:textId="34BD4086" w:rsidR="00922BD0" w:rsidRPr="00922BD0" w:rsidRDefault="00922BD0" w:rsidP="00922BD0">
            <w:pPr>
              <w:tabs>
                <w:tab w:val="num" w:pos="980"/>
              </w:tabs>
              <w:rPr>
                <w:sz w:val="26"/>
                <w:szCs w:val="26"/>
              </w:rPr>
            </w:pPr>
            <w:r w:rsidRPr="00922BD0">
              <w:rPr>
                <w:sz w:val="26"/>
                <w:szCs w:val="26"/>
              </w:rPr>
              <w:t>Bảo đảm điều kiện vệ sinh môi trường và các điều kiện khác như phòng cháy, chữa cháy, an toàn lao động</w:t>
            </w:r>
          </w:p>
        </w:tc>
        <w:tc>
          <w:tcPr>
            <w:tcW w:w="3150" w:type="dxa"/>
            <w:vAlign w:val="center"/>
          </w:tcPr>
          <w:p w14:paraId="55FD1F71" w14:textId="511AEAC7" w:rsidR="00922BD0" w:rsidRPr="00922BD0" w:rsidRDefault="00922BD0" w:rsidP="00922BD0">
            <w:pPr>
              <w:tabs>
                <w:tab w:val="num" w:pos="980"/>
              </w:tabs>
              <w:rPr>
                <w:sz w:val="26"/>
                <w:szCs w:val="26"/>
              </w:rPr>
            </w:pPr>
            <w:r w:rsidRPr="00922BD0">
              <w:rPr>
                <w:sz w:val="26"/>
                <w:szCs w:val="26"/>
              </w:rPr>
              <w:t>Nhà thầu có biện pháp bảo đảm vệ sinh môi trường, phòng cháy chữa cháy, an toàn lao động hợp lý, khả thi và phù hợp với gói thầu</w:t>
            </w:r>
          </w:p>
        </w:tc>
        <w:tc>
          <w:tcPr>
            <w:tcW w:w="3391" w:type="dxa"/>
            <w:vAlign w:val="center"/>
          </w:tcPr>
          <w:p w14:paraId="6AAC1E3F" w14:textId="7550F9BD" w:rsidR="00922BD0" w:rsidRPr="00922BD0" w:rsidRDefault="00922BD0" w:rsidP="00922BD0">
            <w:pPr>
              <w:tabs>
                <w:tab w:val="num" w:pos="980"/>
              </w:tabs>
              <w:rPr>
                <w:sz w:val="26"/>
                <w:szCs w:val="26"/>
              </w:rPr>
            </w:pPr>
            <w:r w:rsidRPr="00922BD0">
              <w:rPr>
                <w:sz w:val="26"/>
                <w:szCs w:val="26"/>
              </w:rPr>
              <w:t>Nhà thầu không trình bày được đầy đủ các biện pháp theo yêu cầu tại cột (3) nội dung này</w:t>
            </w:r>
          </w:p>
        </w:tc>
      </w:tr>
      <w:tr w:rsidR="000E62F2" w:rsidRPr="00535332" w14:paraId="76E2A11D" w14:textId="77777777" w:rsidTr="00837763">
        <w:tblPrEx>
          <w:tblBorders>
            <w:insideH w:val="single" w:sz="4" w:space="0" w:color="auto"/>
            <w:insideV w:val="single" w:sz="4" w:space="0" w:color="auto"/>
          </w:tblBorders>
          <w:tblCellMar>
            <w:left w:w="108" w:type="dxa"/>
            <w:right w:w="108" w:type="dxa"/>
          </w:tblCellMar>
        </w:tblPrEx>
        <w:trPr>
          <w:trHeight w:val="1466"/>
        </w:trPr>
        <w:tc>
          <w:tcPr>
            <w:tcW w:w="588" w:type="dxa"/>
            <w:vAlign w:val="center"/>
          </w:tcPr>
          <w:p w14:paraId="78308E19" w14:textId="77777777" w:rsidR="000E62F2" w:rsidRPr="00010133" w:rsidRDefault="000E62F2" w:rsidP="004238DB">
            <w:pPr>
              <w:jc w:val="center"/>
              <w:rPr>
                <w:sz w:val="26"/>
                <w:szCs w:val="26"/>
              </w:rPr>
            </w:pPr>
            <w:r w:rsidRPr="00010133">
              <w:rPr>
                <w:sz w:val="26"/>
                <w:szCs w:val="26"/>
              </w:rPr>
              <w:lastRenderedPageBreak/>
              <w:t>7</w:t>
            </w:r>
          </w:p>
        </w:tc>
        <w:tc>
          <w:tcPr>
            <w:tcW w:w="2679" w:type="dxa"/>
            <w:vAlign w:val="center"/>
          </w:tcPr>
          <w:p w14:paraId="79C858BA" w14:textId="77777777" w:rsidR="000E62F2" w:rsidRPr="00010133" w:rsidRDefault="000E62F2" w:rsidP="004238DB">
            <w:pPr>
              <w:tabs>
                <w:tab w:val="num" w:pos="980"/>
              </w:tabs>
              <w:rPr>
                <w:sz w:val="26"/>
                <w:szCs w:val="26"/>
                <w:lang w:val="it-IT"/>
              </w:rPr>
            </w:pPr>
            <w:r w:rsidRPr="00010133">
              <w:rPr>
                <w:sz w:val="26"/>
                <w:szCs w:val="26"/>
              </w:rPr>
              <w:t>Tính hợp lệ của hàng hóa, hàng hóa</w:t>
            </w:r>
          </w:p>
        </w:tc>
        <w:tc>
          <w:tcPr>
            <w:tcW w:w="3150" w:type="dxa"/>
            <w:vAlign w:val="center"/>
          </w:tcPr>
          <w:p w14:paraId="190ACCC4" w14:textId="77777777" w:rsidR="00837763" w:rsidRPr="00535332" w:rsidRDefault="000E62F2" w:rsidP="00472513">
            <w:pPr>
              <w:tabs>
                <w:tab w:val="num" w:pos="980"/>
              </w:tabs>
              <w:rPr>
                <w:sz w:val="26"/>
                <w:szCs w:val="26"/>
                <w:lang w:val="it-IT"/>
              </w:rPr>
            </w:pPr>
            <w:r w:rsidRPr="00535332">
              <w:rPr>
                <w:sz w:val="26"/>
                <w:szCs w:val="26"/>
                <w:lang w:val="it-IT"/>
              </w:rPr>
              <w:t>Có đầy đủ các cam kết được nêu tại Chương II. Bảng dữ liệu</w:t>
            </w:r>
            <w:r w:rsidR="00837763" w:rsidRPr="00535332">
              <w:rPr>
                <w:sz w:val="26"/>
                <w:szCs w:val="26"/>
                <w:lang w:val="it-IT"/>
              </w:rPr>
              <w:t>.</w:t>
            </w:r>
          </w:p>
          <w:p w14:paraId="1600DD52" w14:textId="4E5E4B87" w:rsidR="00535332" w:rsidRPr="00535332" w:rsidRDefault="00535332" w:rsidP="00472513">
            <w:pPr>
              <w:tabs>
                <w:tab w:val="num" w:pos="980"/>
              </w:tabs>
              <w:rPr>
                <w:sz w:val="26"/>
                <w:szCs w:val="26"/>
                <w:lang w:val="it-IT"/>
              </w:rPr>
            </w:pPr>
            <w:r w:rsidRPr="00535332">
              <w:rPr>
                <w:sz w:val="26"/>
                <w:szCs w:val="26"/>
                <w:lang w:val="it-IT"/>
              </w:rPr>
              <w:t>Cây giống phải có xác nhận nguồn gốc giống và có sẵn cây giống tại vườn ươm được xác nhận của UBND cấp xã.</w:t>
            </w:r>
          </w:p>
        </w:tc>
        <w:tc>
          <w:tcPr>
            <w:tcW w:w="3391" w:type="dxa"/>
            <w:vAlign w:val="center"/>
          </w:tcPr>
          <w:p w14:paraId="70341597" w14:textId="77777777" w:rsidR="000E62F2" w:rsidRDefault="000E62F2" w:rsidP="004238DB">
            <w:pPr>
              <w:tabs>
                <w:tab w:val="num" w:pos="980"/>
              </w:tabs>
              <w:rPr>
                <w:sz w:val="26"/>
                <w:szCs w:val="26"/>
                <w:lang w:val="it-IT"/>
              </w:rPr>
            </w:pPr>
            <w:r w:rsidRPr="00535332">
              <w:rPr>
                <w:sz w:val="26"/>
                <w:szCs w:val="26"/>
                <w:lang w:val="it-IT"/>
              </w:rPr>
              <w:t>Không có cam kết hoặc có cam kết nhưng không đúng hoặc không đầy đủ các nội dung theo yêu cầu</w:t>
            </w:r>
          </w:p>
          <w:p w14:paraId="3A374F1B" w14:textId="6934FC42" w:rsidR="00535332" w:rsidRPr="00535332" w:rsidRDefault="00535332" w:rsidP="004238DB">
            <w:pPr>
              <w:tabs>
                <w:tab w:val="num" w:pos="980"/>
              </w:tabs>
              <w:rPr>
                <w:sz w:val="26"/>
                <w:szCs w:val="26"/>
                <w:shd w:val="clear" w:color="auto" w:fill="FFFFFF"/>
                <w:lang w:val="it-IT"/>
              </w:rPr>
            </w:pPr>
            <w:r>
              <w:rPr>
                <w:sz w:val="26"/>
                <w:szCs w:val="26"/>
                <w:lang w:val="it-IT"/>
              </w:rPr>
              <w:t>Không có</w:t>
            </w:r>
            <w:bookmarkStart w:id="0" w:name="_GoBack"/>
            <w:bookmarkEnd w:id="0"/>
            <w:r w:rsidRPr="00535332">
              <w:rPr>
                <w:sz w:val="26"/>
                <w:szCs w:val="26"/>
                <w:lang w:val="it-IT"/>
              </w:rPr>
              <w:t xml:space="preserve"> xác nhận nguồn gốc giống và có sẵn cây giống tại vườn ươm được xác nhận của UBND cấp xã.</w:t>
            </w:r>
          </w:p>
        </w:tc>
      </w:tr>
      <w:tr w:rsidR="000E62F2" w:rsidRPr="00535332" w14:paraId="22C77135" w14:textId="77777777" w:rsidTr="00837763">
        <w:tblPrEx>
          <w:tblBorders>
            <w:insideH w:val="single" w:sz="4" w:space="0" w:color="auto"/>
            <w:insideV w:val="single" w:sz="4" w:space="0" w:color="auto"/>
          </w:tblBorders>
          <w:tblCellMar>
            <w:left w:w="108" w:type="dxa"/>
            <w:right w:w="108" w:type="dxa"/>
          </w:tblCellMar>
        </w:tblPrEx>
        <w:trPr>
          <w:trHeight w:val="470"/>
        </w:trPr>
        <w:tc>
          <w:tcPr>
            <w:tcW w:w="588" w:type="dxa"/>
            <w:vAlign w:val="center"/>
          </w:tcPr>
          <w:p w14:paraId="6F4BBB5C" w14:textId="77777777" w:rsidR="000E62F2" w:rsidRPr="00010133" w:rsidRDefault="000E62F2" w:rsidP="004238DB">
            <w:pPr>
              <w:jc w:val="center"/>
              <w:rPr>
                <w:sz w:val="26"/>
                <w:szCs w:val="26"/>
              </w:rPr>
            </w:pPr>
            <w:r w:rsidRPr="00010133">
              <w:rPr>
                <w:sz w:val="26"/>
                <w:szCs w:val="26"/>
              </w:rPr>
              <w:t>8</w:t>
            </w:r>
          </w:p>
        </w:tc>
        <w:tc>
          <w:tcPr>
            <w:tcW w:w="2679" w:type="dxa"/>
            <w:vAlign w:val="center"/>
          </w:tcPr>
          <w:p w14:paraId="475FB2EE" w14:textId="77777777" w:rsidR="000E62F2" w:rsidRPr="00010133" w:rsidRDefault="000E62F2" w:rsidP="004238DB">
            <w:pPr>
              <w:tabs>
                <w:tab w:val="num" w:pos="980"/>
              </w:tabs>
              <w:rPr>
                <w:sz w:val="26"/>
                <w:szCs w:val="26"/>
                <w:lang w:val="it-IT"/>
              </w:rPr>
            </w:pPr>
            <w:r w:rsidRPr="00010133">
              <w:rPr>
                <w:sz w:val="26"/>
                <w:szCs w:val="26"/>
              </w:rPr>
              <w:t>Uy tín của nhà thầu thông qua việc thực hiện các hợp đồng tương tự trước đó trong thời gian 03 năm gần đây, tính đến thời điểm đóng thầu</w:t>
            </w:r>
          </w:p>
        </w:tc>
        <w:tc>
          <w:tcPr>
            <w:tcW w:w="3150" w:type="dxa"/>
            <w:vAlign w:val="center"/>
          </w:tcPr>
          <w:p w14:paraId="3D602DB3" w14:textId="77777777" w:rsidR="000E62F2" w:rsidRPr="00010133" w:rsidRDefault="000E62F2" w:rsidP="004238DB">
            <w:pPr>
              <w:tabs>
                <w:tab w:val="num" w:pos="980"/>
              </w:tabs>
              <w:rPr>
                <w:sz w:val="26"/>
                <w:szCs w:val="26"/>
                <w:lang w:val="it-IT"/>
              </w:rPr>
            </w:pPr>
            <w:r w:rsidRPr="00535332">
              <w:rPr>
                <w:sz w:val="26"/>
                <w:szCs w:val="26"/>
                <w:lang w:val="it-IT" w:eastAsia="vi-VN"/>
              </w:rPr>
              <w:t>- Có cam kết không có gói thầu nào không thương thảo hợp đồng khi được mời, có quyết định trúng thầu nhưng không tiến hành hoàn thiện, ký kết hợp đồng, không vi phạm về gian lận hoặc các vi phạm khác trong đấu thầu, dẫn đến bị xử phạt hoặc trong thời hạn bị cấm đấu thầu ở bất kỳ cơ quan, địa phương nào trên toàn quốc</w:t>
            </w:r>
          </w:p>
        </w:tc>
        <w:tc>
          <w:tcPr>
            <w:tcW w:w="3391" w:type="dxa"/>
            <w:vAlign w:val="center"/>
          </w:tcPr>
          <w:p w14:paraId="2DC612AE" w14:textId="77777777" w:rsidR="000E62F2" w:rsidRPr="00010133" w:rsidRDefault="000E62F2" w:rsidP="004238DB">
            <w:pPr>
              <w:rPr>
                <w:sz w:val="26"/>
                <w:szCs w:val="26"/>
                <w:lang w:val="it-IT"/>
              </w:rPr>
            </w:pPr>
            <w:r w:rsidRPr="00535332">
              <w:rPr>
                <w:sz w:val="26"/>
                <w:szCs w:val="26"/>
                <w:shd w:val="clear" w:color="auto" w:fill="FFFFFF"/>
                <w:lang w:val="it-IT"/>
              </w:rPr>
              <w:t xml:space="preserve">- Không đáp ứng yêu cầu tại cột (3) hoặc nhà thầu </w:t>
            </w:r>
            <w:r w:rsidRPr="00535332">
              <w:rPr>
                <w:sz w:val="26"/>
                <w:szCs w:val="26"/>
                <w:lang w:val="it-IT" w:eastAsia="vi-VN"/>
              </w:rPr>
              <w:t>có gói thầu không thương thảo hợp đồng khi được mời, có quyết định trúng thầu nhưng không tiến hành hoàn thiện, ký kết hợp đồng, vi phạm về gian lận hoặc các vi phạm khác trong đấu thầu, dẫn đến bị xử phạt hoặc trong thời hạn bị cấm đấu thầu ở bất kỳ cơ quan, địa phương nào trên toàn quốc</w:t>
            </w:r>
          </w:p>
        </w:tc>
      </w:tr>
    </w:tbl>
    <w:p w14:paraId="60B9DF02" w14:textId="0AFB264D" w:rsidR="00A33153" w:rsidRPr="00E951D2" w:rsidRDefault="000E62F2" w:rsidP="00EF12DA">
      <w:pPr>
        <w:widowControl w:val="0"/>
        <w:tabs>
          <w:tab w:val="left" w:pos="851"/>
        </w:tabs>
        <w:ind w:firstLine="709"/>
        <w:rPr>
          <w:vanish/>
          <w:sz w:val="28"/>
          <w:szCs w:val="28"/>
          <w:lang w:val="vi-VN"/>
        </w:rPr>
      </w:pPr>
      <w:r w:rsidRPr="00010133">
        <w:rPr>
          <w:sz w:val="26"/>
          <w:szCs w:val="26"/>
          <w:lang w:val="it-IT"/>
        </w:rPr>
        <w:t>E-HSDT được đánh giá là đáp ứng yêu cầu về kỹ thuật khi có tất cả các tiêu chí đều được đánh giá là đạt</w:t>
      </w:r>
      <w:r w:rsidR="00847464" w:rsidRPr="00180F17">
        <w:rPr>
          <w:sz w:val="28"/>
          <w:szCs w:val="28"/>
          <w:lang w:val="vi-VN"/>
        </w:rPr>
        <w:t>.</w:t>
      </w: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5501" w14:textId="77777777" w:rsidR="001007C5" w:rsidRDefault="001007C5" w:rsidP="0005772F">
      <w:r>
        <w:separator/>
      </w:r>
    </w:p>
  </w:endnote>
  <w:endnote w:type="continuationSeparator" w:id="0">
    <w:p w14:paraId="6624FF61" w14:textId="77777777" w:rsidR="001007C5" w:rsidRDefault="001007C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A3"/>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37763" w:rsidRDefault="0083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9CB21" w14:textId="77777777" w:rsidR="001007C5" w:rsidRDefault="001007C5" w:rsidP="0005772F">
      <w:r>
        <w:separator/>
      </w:r>
    </w:p>
  </w:footnote>
  <w:footnote w:type="continuationSeparator" w:id="0">
    <w:p w14:paraId="7D15CC66" w14:textId="77777777" w:rsidR="001007C5" w:rsidRDefault="001007C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CC77EFA"/>
    <w:multiLevelType w:val="hybridMultilevel"/>
    <w:tmpl w:val="451E0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7055B"/>
    <w:multiLevelType w:val="hybridMultilevel"/>
    <w:tmpl w:val="5A54A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B1D93"/>
    <w:multiLevelType w:val="hybridMultilevel"/>
    <w:tmpl w:val="A372DE8E"/>
    <w:lvl w:ilvl="0" w:tplc="2E3C1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6431E0"/>
    <w:multiLevelType w:val="hybridMultilevel"/>
    <w:tmpl w:val="45A88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51823"/>
    <w:multiLevelType w:val="hybridMultilevel"/>
    <w:tmpl w:val="4D1EC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32F6806"/>
    <w:multiLevelType w:val="multilevel"/>
    <w:tmpl w:val="16A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16B7D"/>
    <w:multiLevelType w:val="hybridMultilevel"/>
    <w:tmpl w:val="CF28B39A"/>
    <w:lvl w:ilvl="0" w:tplc="9A8EAA3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B15CAF"/>
    <w:multiLevelType w:val="hybridMultilevel"/>
    <w:tmpl w:val="D572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C3390"/>
    <w:multiLevelType w:val="hybridMultilevel"/>
    <w:tmpl w:val="C654190C"/>
    <w:lvl w:ilvl="0" w:tplc="9A8EAA3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21"/>
  </w:num>
  <w:num w:numId="3">
    <w:abstractNumId w:val="41"/>
  </w:num>
  <w:num w:numId="4">
    <w:abstractNumId w:val="6"/>
  </w:num>
  <w:num w:numId="5">
    <w:abstractNumId w:val="22"/>
  </w:num>
  <w:num w:numId="6">
    <w:abstractNumId w:val="31"/>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7"/>
  </w:num>
  <w:num w:numId="11">
    <w:abstractNumId w:val="32"/>
  </w:num>
  <w:num w:numId="12">
    <w:abstractNumId w:val="38"/>
  </w:num>
  <w:num w:numId="13">
    <w:abstractNumId w:val="11"/>
  </w:num>
  <w:num w:numId="14">
    <w:abstractNumId w:val="2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9"/>
  </w:num>
  <w:num w:numId="19">
    <w:abstractNumId w:val="3"/>
  </w:num>
  <w:num w:numId="20">
    <w:abstractNumId w:val="37"/>
  </w:num>
  <w:num w:numId="21">
    <w:abstractNumId w:val="26"/>
  </w:num>
  <w:num w:numId="22">
    <w:abstractNumId w:val="34"/>
  </w:num>
  <w:num w:numId="23">
    <w:abstractNumId w:val="20"/>
  </w:num>
  <w:num w:numId="24">
    <w:abstractNumId w:val="36"/>
  </w:num>
  <w:num w:numId="25">
    <w:abstractNumId w:val="16"/>
  </w:num>
  <w:num w:numId="26">
    <w:abstractNumId w:val="44"/>
  </w:num>
  <w:num w:numId="27">
    <w:abstractNumId w:val="5"/>
  </w:num>
  <w:num w:numId="28">
    <w:abstractNumId w:val="29"/>
  </w:num>
  <w:num w:numId="29">
    <w:abstractNumId w:val="25"/>
  </w:num>
  <w:num w:numId="30">
    <w:abstractNumId w:val="19"/>
  </w:num>
  <w:num w:numId="31">
    <w:abstractNumId w:val="27"/>
  </w:num>
  <w:num w:numId="32">
    <w:abstractNumId w:val="2"/>
  </w:num>
  <w:num w:numId="33">
    <w:abstractNumId w:val="8"/>
  </w:num>
  <w:num w:numId="34">
    <w:abstractNumId w:val="43"/>
  </w:num>
  <w:num w:numId="35">
    <w:abstractNumId w:val="10"/>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13"/>
  </w:num>
  <w:num w:numId="39">
    <w:abstractNumId w:val="40"/>
  </w:num>
  <w:num w:numId="40">
    <w:abstractNumId w:val="17"/>
  </w:num>
  <w:num w:numId="41">
    <w:abstractNumId w:val="18"/>
  </w:num>
  <w:num w:numId="42">
    <w:abstractNumId w:val="12"/>
  </w:num>
  <w:num w:numId="43">
    <w:abstractNumId w:val="9"/>
  </w:num>
  <w:num w:numId="44">
    <w:abstractNumId w:val="42"/>
  </w:num>
  <w:num w:numId="45">
    <w:abstractNumId w:val="2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B31"/>
    <w:rsid w:val="00013081"/>
    <w:rsid w:val="000141C8"/>
    <w:rsid w:val="000148B0"/>
    <w:rsid w:val="00014F30"/>
    <w:rsid w:val="00015255"/>
    <w:rsid w:val="00016D42"/>
    <w:rsid w:val="000172CC"/>
    <w:rsid w:val="00017D5C"/>
    <w:rsid w:val="00020B6E"/>
    <w:rsid w:val="0002103A"/>
    <w:rsid w:val="00022609"/>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C0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7B6"/>
    <w:rsid w:val="000D48B9"/>
    <w:rsid w:val="000D6C2B"/>
    <w:rsid w:val="000D74EA"/>
    <w:rsid w:val="000D76A0"/>
    <w:rsid w:val="000D7881"/>
    <w:rsid w:val="000E107D"/>
    <w:rsid w:val="000E1593"/>
    <w:rsid w:val="000E1A47"/>
    <w:rsid w:val="000E1E78"/>
    <w:rsid w:val="000E4787"/>
    <w:rsid w:val="000E554A"/>
    <w:rsid w:val="000E5658"/>
    <w:rsid w:val="000E593A"/>
    <w:rsid w:val="000E62F2"/>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7C5"/>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1A6"/>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22A"/>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39D"/>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B9C"/>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4CB"/>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D6D"/>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5AD"/>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582"/>
    <w:rsid w:val="003F31AE"/>
    <w:rsid w:val="003F4775"/>
    <w:rsid w:val="003F562B"/>
    <w:rsid w:val="003F56D4"/>
    <w:rsid w:val="003F623B"/>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8DB"/>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2B8D"/>
    <w:rsid w:val="004634A3"/>
    <w:rsid w:val="00464202"/>
    <w:rsid w:val="0046470F"/>
    <w:rsid w:val="00464B75"/>
    <w:rsid w:val="00465CCD"/>
    <w:rsid w:val="00466233"/>
    <w:rsid w:val="00466827"/>
    <w:rsid w:val="00466CE4"/>
    <w:rsid w:val="00467283"/>
    <w:rsid w:val="004676E3"/>
    <w:rsid w:val="00467B17"/>
    <w:rsid w:val="0047020A"/>
    <w:rsid w:val="00471680"/>
    <w:rsid w:val="00472513"/>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C85"/>
    <w:rsid w:val="004A7ED9"/>
    <w:rsid w:val="004B004B"/>
    <w:rsid w:val="004B01B9"/>
    <w:rsid w:val="004B0AB0"/>
    <w:rsid w:val="004B18A7"/>
    <w:rsid w:val="004B1E77"/>
    <w:rsid w:val="004B209F"/>
    <w:rsid w:val="004B20FB"/>
    <w:rsid w:val="004B282E"/>
    <w:rsid w:val="004B352B"/>
    <w:rsid w:val="004B396B"/>
    <w:rsid w:val="004B3DE7"/>
    <w:rsid w:val="004B496B"/>
    <w:rsid w:val="004B5118"/>
    <w:rsid w:val="004B549B"/>
    <w:rsid w:val="004B55FD"/>
    <w:rsid w:val="004B61F3"/>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47C"/>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332"/>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B0C"/>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330"/>
    <w:rsid w:val="005B26B8"/>
    <w:rsid w:val="005B31BC"/>
    <w:rsid w:val="005B3769"/>
    <w:rsid w:val="005B3E8B"/>
    <w:rsid w:val="005B44F7"/>
    <w:rsid w:val="005B6E47"/>
    <w:rsid w:val="005B7862"/>
    <w:rsid w:val="005B7C94"/>
    <w:rsid w:val="005C051E"/>
    <w:rsid w:val="005C151D"/>
    <w:rsid w:val="005C15FF"/>
    <w:rsid w:val="005C17A0"/>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24C"/>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C3B"/>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37E"/>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75F"/>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6A7"/>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41C"/>
    <w:rsid w:val="006B3A7F"/>
    <w:rsid w:val="006B4433"/>
    <w:rsid w:val="006B6300"/>
    <w:rsid w:val="006B6C7C"/>
    <w:rsid w:val="006B7250"/>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06D6"/>
    <w:rsid w:val="006E18AA"/>
    <w:rsid w:val="006E2097"/>
    <w:rsid w:val="006E264A"/>
    <w:rsid w:val="006E2C43"/>
    <w:rsid w:val="006E595E"/>
    <w:rsid w:val="006E596D"/>
    <w:rsid w:val="006E60BC"/>
    <w:rsid w:val="006E6549"/>
    <w:rsid w:val="006E681B"/>
    <w:rsid w:val="006E73DB"/>
    <w:rsid w:val="006F0FD4"/>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101"/>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8EB"/>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3910"/>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890"/>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5859"/>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18D"/>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37763"/>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7E4"/>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4B47"/>
    <w:rsid w:val="008F558E"/>
    <w:rsid w:val="008F6097"/>
    <w:rsid w:val="008F7534"/>
    <w:rsid w:val="00900E9A"/>
    <w:rsid w:val="009015D0"/>
    <w:rsid w:val="00904DCE"/>
    <w:rsid w:val="0090551D"/>
    <w:rsid w:val="0090559A"/>
    <w:rsid w:val="00905BFB"/>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BD0"/>
    <w:rsid w:val="00922F8B"/>
    <w:rsid w:val="00923277"/>
    <w:rsid w:val="0092380F"/>
    <w:rsid w:val="009242A1"/>
    <w:rsid w:val="00924A93"/>
    <w:rsid w:val="00924E12"/>
    <w:rsid w:val="009256AA"/>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9C5"/>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17B"/>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244"/>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673D"/>
    <w:rsid w:val="00BA0AC6"/>
    <w:rsid w:val="00BA158C"/>
    <w:rsid w:val="00BA1A31"/>
    <w:rsid w:val="00BA2EE0"/>
    <w:rsid w:val="00BA49B8"/>
    <w:rsid w:val="00BA4A86"/>
    <w:rsid w:val="00BA5DFA"/>
    <w:rsid w:val="00BA6094"/>
    <w:rsid w:val="00BA6460"/>
    <w:rsid w:val="00BA66A5"/>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619"/>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1FA"/>
    <w:rsid w:val="00C124BD"/>
    <w:rsid w:val="00C1296F"/>
    <w:rsid w:val="00C131FD"/>
    <w:rsid w:val="00C13922"/>
    <w:rsid w:val="00C14BBC"/>
    <w:rsid w:val="00C151D4"/>
    <w:rsid w:val="00C1528D"/>
    <w:rsid w:val="00C152F4"/>
    <w:rsid w:val="00C158E3"/>
    <w:rsid w:val="00C165D4"/>
    <w:rsid w:val="00C1780C"/>
    <w:rsid w:val="00C17A3C"/>
    <w:rsid w:val="00C17A91"/>
    <w:rsid w:val="00C200FF"/>
    <w:rsid w:val="00C21E24"/>
    <w:rsid w:val="00C2224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3EB5"/>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3C64"/>
    <w:rsid w:val="00D043C7"/>
    <w:rsid w:val="00D0463A"/>
    <w:rsid w:val="00D057B2"/>
    <w:rsid w:val="00D05820"/>
    <w:rsid w:val="00D05ADC"/>
    <w:rsid w:val="00D05F85"/>
    <w:rsid w:val="00D069F2"/>
    <w:rsid w:val="00D07311"/>
    <w:rsid w:val="00D07994"/>
    <w:rsid w:val="00D10119"/>
    <w:rsid w:val="00D11292"/>
    <w:rsid w:val="00D1167B"/>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29B0"/>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798"/>
    <w:rsid w:val="00D62C2B"/>
    <w:rsid w:val="00D62D71"/>
    <w:rsid w:val="00D62DBE"/>
    <w:rsid w:val="00D62F72"/>
    <w:rsid w:val="00D63397"/>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E66"/>
    <w:rsid w:val="00D77130"/>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48A6"/>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4F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12DA"/>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4D1F"/>
    <w:rsid w:val="00F166DC"/>
    <w:rsid w:val="00F16EE2"/>
    <w:rsid w:val="00F173C9"/>
    <w:rsid w:val="00F210D6"/>
    <w:rsid w:val="00F2260E"/>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404"/>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57AC"/>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Normal (Web) Char"/>
    <w:basedOn w:val="Normal"/>
    <w:link w:val="NormalWebChar1"/>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3C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link w:val="NormalWeb"/>
    <w:locked/>
    <w:rsid w:val="003C45AD"/>
    <w:rPr>
      <w:rFonts w:ascii="Arial Unicode MS" w:eastAsia="Arial Unicode MS" w:hAnsi="Arial Unicode MS" w:cs="Arial Unicode MS"/>
      <w:sz w:val="24"/>
      <w:szCs w:val="24"/>
      <w:lang w:val="en-US"/>
    </w:rPr>
  </w:style>
  <w:style w:type="paragraph" w:customStyle="1" w:styleId="HeaderSectionVI">
    <w:name w:val="Header.Section VI"/>
    <w:basedOn w:val="Normal"/>
    <w:rsid w:val="006B341C"/>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EE48-0832-4C7D-A3C9-2244B96D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9</cp:revision>
  <cp:lastPrinted>2025-09-03T04:29:00Z</cp:lastPrinted>
  <dcterms:created xsi:type="dcterms:W3CDTF">2025-09-03T04:45:00Z</dcterms:created>
  <dcterms:modified xsi:type="dcterms:W3CDTF">2025-09-05T07:23:00Z</dcterms:modified>
</cp:coreProperties>
</file>