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095"/>
        <w:gridCol w:w="1411"/>
      </w:tblGrid>
      <w:tr w:rsidR="005C3558" w14:paraId="678EC6F5" w14:textId="77777777" w:rsidTr="005C3558">
        <w:trPr>
          <w:trHeight w:val="64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360" w14:textId="77777777" w:rsidR="005C3558" w:rsidRDefault="005C3558">
            <w:pPr>
              <w:spacing w:before="200" w:after="20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3879" w14:textId="77777777" w:rsidR="005C3558" w:rsidRDefault="005C3558">
            <w:pPr>
              <w:spacing w:before="200" w:after="20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688D" w14:textId="77777777" w:rsidR="005C3558" w:rsidRDefault="005C3558">
            <w:pPr>
              <w:spacing w:before="200" w:after="20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ứng</w:t>
            </w:r>
            <w:proofErr w:type="spellEnd"/>
          </w:p>
        </w:tc>
      </w:tr>
      <w:tr w:rsidR="005C3558" w14:paraId="5BB24BD7" w14:textId="77777777" w:rsidTr="005C3558">
        <w:trPr>
          <w:trHeight w:val="67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7387C2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06C0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Tính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hiệu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quả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việc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cung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cấp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D589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Trong 03 </w:t>
            </w:r>
            <w:proofErr w:type="spellStart"/>
            <w:r>
              <w:rPr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01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9DD1" w14:textId="268F86B3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5C573DB7" w14:textId="77777777" w:rsidTr="005C3558">
        <w:trPr>
          <w:trHeight w:val="6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6D0A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517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DE1E0" w14:textId="00FB85D8" w:rsidR="005C3558" w:rsidRPr="005C3558" w:rsidRDefault="005C3558" w:rsidP="005C3558">
            <w:pPr>
              <w:spacing w:before="120" w:after="120"/>
              <w:rPr>
                <w:color w:val="000000"/>
                <w:kern w:val="2"/>
                <w:sz w:val="28"/>
                <w:szCs w:val="28"/>
              </w:rPr>
            </w:pPr>
            <w:r w:rsidRPr="006353CB">
              <w:rPr>
                <w:color w:val="000000"/>
                <w:sz w:val="28"/>
                <w:szCs w:val="28"/>
              </w:rPr>
              <w:t xml:space="preserve">Trong 03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gần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01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dưỡng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sửa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chữa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4F5">
              <w:rPr>
                <w:color w:val="000000"/>
                <w:sz w:val="28"/>
                <w:szCs w:val="28"/>
              </w:rPr>
              <w:t>đèn</w:t>
            </w:r>
            <w:proofErr w:type="spellEnd"/>
            <w:r w:rsidRPr="006764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4F5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6764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4F5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6764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4F5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6764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4F5">
              <w:rPr>
                <w:color w:val="000000"/>
                <w:sz w:val="28"/>
                <w:szCs w:val="28"/>
              </w:rPr>
              <w:t>hải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6353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3CB">
              <w:rPr>
                <w:color w:val="000000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5C5E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035E5407" w14:textId="77777777" w:rsidTr="005C3558">
        <w:trPr>
          <w:trHeight w:val="52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E77ED5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73B0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hiểu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biết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tính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chất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mục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đích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công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1D9F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am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522C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44FB95FF" w14:textId="77777777" w:rsidTr="005C3558">
        <w:trPr>
          <w:trHeight w:val="3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558D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E739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7037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am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C738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2BFA3432" w14:textId="77777777" w:rsidTr="005C3558"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2BA3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9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B115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Tính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hợp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lý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khả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thi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kế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hoạch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các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giải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kỹ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thuật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biện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tổ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chức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cung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cấp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vụ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 </w:t>
            </w:r>
          </w:p>
        </w:tc>
      </w:tr>
      <w:tr w:rsidR="005C3558" w14:paraId="274558A4" w14:textId="77777777" w:rsidTr="005C3558">
        <w:trPr>
          <w:trHeight w:val="85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2A2C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A2D0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sử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sửa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chữa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n-001"/>
              </w:rPr>
              <w:t>đèn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hải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F4AE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nguồn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9F6F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53372314" w14:textId="77777777" w:rsidTr="005C3558">
        <w:trPr>
          <w:trHeight w:val="8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53F6" w14:textId="77777777" w:rsidR="005C3558" w:rsidRDefault="005C3558">
            <w:pPr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C9AD" w14:textId="77777777" w:rsidR="005C3558" w:rsidRDefault="005C3558">
            <w:pPr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CC5D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nguồn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CF72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4A242719" w14:textId="77777777" w:rsidTr="005C3558">
        <w:trPr>
          <w:trHeight w:val="87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87DE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BB4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Công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tác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bảo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dưỡng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sửa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chữa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đèn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báo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hiệu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hàng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hải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2119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ADE7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140BE0A1" w14:textId="77777777" w:rsidTr="005C3558">
        <w:trPr>
          <w:trHeight w:val="83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BC0D" w14:textId="77777777" w:rsidR="005C3558" w:rsidRDefault="005C3558">
            <w:pPr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33FC" w14:textId="77777777" w:rsidR="005C3558" w:rsidRDefault="005C3558">
            <w:pPr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2EA7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9EC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4C42DB13" w14:textId="77777777" w:rsidTr="005C3558">
        <w:trPr>
          <w:trHeight w:val="554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53551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1A14" w14:textId="77777777" w:rsidR="005C3558" w:rsidRDefault="005C3558">
            <w:pPr>
              <w:spacing w:before="120" w:after="120"/>
              <w:ind w:left="10" w:hanging="10"/>
              <w:jc w:val="left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02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chí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đều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xác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26D7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4370D249" w14:textId="77777777" w:rsidTr="005C3558">
        <w:trPr>
          <w:trHeight w:val="728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40FE" w14:textId="77777777" w:rsidR="005C3558" w:rsidRDefault="005C3558">
            <w:pPr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28FD" w14:textId="77777777" w:rsidR="005C3558" w:rsidRDefault="005C3558">
            <w:pPr>
              <w:spacing w:before="120" w:after="120"/>
              <w:ind w:left="10" w:hanging="10"/>
              <w:jc w:val="left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01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chí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xác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4E26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7BD472EF" w14:textId="77777777" w:rsidTr="005C3558">
        <w:trPr>
          <w:trHeight w:val="107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0320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BCD6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hệ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thống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đảm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bảo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chất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lượng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và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phương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pháp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  <w:lang w:val="es-ES"/>
              </w:rPr>
              <w:t>hiện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5241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72C3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34F93041" w14:textId="77777777" w:rsidTr="005C3558">
        <w:trPr>
          <w:trHeight w:val="123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41B3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1B4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4E0A5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BCC9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1CAE539A" w14:textId="77777777" w:rsidTr="005C3558">
        <w:trPr>
          <w:trHeight w:val="5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0CA9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5D3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Mức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các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yeu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tiêu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chuẩn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hiện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dịch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9CA51" w14:textId="77777777" w:rsidR="005C3558" w:rsidRDefault="005C3558">
            <w:pPr>
              <w:spacing w:before="120" w:after="120"/>
              <w:ind w:left="10" w:hanging="10"/>
              <w:jc w:val="left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5705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187AE4C5" w14:textId="77777777" w:rsidTr="005C3558">
        <w:trPr>
          <w:trHeight w:val="10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D4A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C19F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E6A0" w14:textId="77777777" w:rsidR="005C3558" w:rsidRDefault="005C3558">
            <w:pPr>
              <w:spacing w:before="120" w:after="120"/>
              <w:ind w:left="10" w:hanging="10"/>
              <w:jc w:val="left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752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10BDB370" w14:textId="77777777" w:rsidTr="005C3558">
        <w:trPr>
          <w:trHeight w:val="76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1655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0A2" w14:textId="77777777" w:rsidR="005C3558" w:rsidRDefault="005C3558">
            <w:pPr>
              <w:spacing w:before="120" w:after="120"/>
              <w:ind w:left="10" w:hanging="10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Tiến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hiện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gói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thầu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đáp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ứng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yêu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cầu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E-HSMT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33F3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  <w:lang w:val="es-ES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đồng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color w:val="000000"/>
                <w:kern w:val="2"/>
                <w:sz w:val="26"/>
                <w:szCs w:val="26"/>
                <w:u w:val="single"/>
              </w:rPr>
              <w:t>&lt;</w:t>
            </w: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color w:val="000000"/>
                <w:kern w:val="2"/>
                <w:sz w:val="26"/>
                <w:szCs w:val="26"/>
                <w:lang w:val="en-001"/>
              </w:rPr>
              <w:t>45</w:t>
            </w: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EDF5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219E4600" w14:textId="77777777" w:rsidTr="005C3558">
        <w:trPr>
          <w:trHeight w:val="84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496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17A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66C7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  <w:lang w:val="es-ES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đồng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&gt; </w:t>
            </w:r>
            <w:r>
              <w:rPr>
                <w:color w:val="000000"/>
                <w:kern w:val="2"/>
                <w:sz w:val="26"/>
                <w:szCs w:val="26"/>
                <w:lang w:val="en-001"/>
              </w:rPr>
              <w:t>45</w:t>
            </w: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F46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1C927D38" w14:textId="77777777" w:rsidTr="005C3558">
        <w:trPr>
          <w:trHeight w:val="8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21C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A48" w14:textId="77777777" w:rsidR="005C3558" w:rsidRDefault="005C3558">
            <w:pPr>
              <w:spacing w:before="120" w:after="120"/>
              <w:ind w:left="10" w:hanging="10"/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Bảo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BB63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≥ 6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kể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từ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ngày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ký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bàn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giao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đưa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vào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sử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dụng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;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đối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với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các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vật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tư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thiết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bị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mà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hãng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xuất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bảo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lớn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hơn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≥ 6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thì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thời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gian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bảo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hành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nhà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xuất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C000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189E2E88" w14:textId="77777777" w:rsidTr="005C3558">
        <w:trPr>
          <w:trHeight w:val="8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02E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72" w14:textId="77777777" w:rsidR="005C3558" w:rsidRDefault="005C3558">
            <w:pPr>
              <w:spacing w:before="120" w:after="120"/>
              <w:ind w:left="10" w:hanging="10"/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8757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&lt; 6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tháng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kể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từ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ngày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ký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biên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bản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bàn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giao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đưa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vào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sử</w:t>
            </w:r>
            <w:proofErr w:type="spellEnd"/>
            <w:r>
              <w:rPr>
                <w:color w:val="000000"/>
                <w:kern w:val="2"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  <w:lang w:val="es-ES"/>
              </w:rPr>
              <w:t>dụng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096B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  <w:tr w:rsidR="005C3558" w14:paraId="3CFE28FC" w14:textId="77777777" w:rsidTr="005C3558">
        <w:trPr>
          <w:trHeight w:val="8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706" w14:textId="77777777" w:rsidR="005C3558" w:rsidRDefault="005C3558">
            <w:pPr>
              <w:spacing w:before="120" w:after="120"/>
              <w:ind w:left="10" w:hanging="10"/>
              <w:jc w:val="center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BCD2" w14:textId="77777777" w:rsidR="005C3558" w:rsidRDefault="005C3558">
            <w:pPr>
              <w:spacing w:before="120" w:after="120"/>
              <w:ind w:left="10" w:hanging="10"/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Thông tin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về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kết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quả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hiện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hợp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đồng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nhà</w:t>
            </w:r>
            <w:proofErr w:type="spellEnd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thầu</w:t>
            </w:r>
            <w:proofErr w:type="spellEnd"/>
            <w:r>
              <w:rPr>
                <w:b/>
                <w:color w:val="000000"/>
                <w:spacing w:val="2"/>
                <w:sz w:val="26"/>
                <w:szCs w:val="26"/>
                <w:lang w:val="pl-PL"/>
              </w:rPr>
              <w:t xml:space="preserve"> theo quy định tại Điều 17 và Điều 18 của Nghị định số 24/2024/NĐ-CP trong 03 năm trở lại đây tính đến thời điểm đóng thầu: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B49B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82DD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</w:tr>
      <w:tr w:rsidR="005C3558" w14:paraId="20CA63F0" w14:textId="77777777" w:rsidTr="005C3558">
        <w:trPr>
          <w:trHeight w:val="8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1712" w14:textId="77777777" w:rsidR="005C3558" w:rsidRDefault="005C3558">
            <w:pPr>
              <w:spacing w:before="120" w:after="120"/>
              <w:ind w:left="10" w:hanging="10"/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8.1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156" w14:textId="77777777" w:rsidR="005C3558" w:rsidRDefault="005C3558">
            <w:pPr>
              <w:spacing w:before="120" w:after="120"/>
              <w:ind w:left="10" w:hanging="10"/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Nha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̀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thầu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có cam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kết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vê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̀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việc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vi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phạm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các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định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tại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Điều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2"/>
                <w:sz w:val="26"/>
                <w:szCs w:val="26"/>
                <w:lang w:val="pl-PL"/>
              </w:rPr>
              <w:t>17 và Điều 18 của Nghị định số 24/2024/NĐ-CP</w:t>
            </w:r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va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̀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chịu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trách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nhiệm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vê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̀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tính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thực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vê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̀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điều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cam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kết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FD90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Có cam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kết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57AD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Đạt</w:t>
            </w:r>
          </w:p>
        </w:tc>
      </w:tr>
      <w:tr w:rsidR="005C3558" w14:paraId="6A117C22" w14:textId="77777777" w:rsidTr="005C3558">
        <w:trPr>
          <w:trHeight w:val="8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AABC" w14:textId="77777777" w:rsidR="005C3558" w:rsidRDefault="005C3558">
            <w:pPr>
              <w:spacing w:before="120" w:after="120"/>
              <w:ind w:left="10" w:hanging="10"/>
              <w:jc w:val="left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98C8" w14:textId="77777777" w:rsidR="005C3558" w:rsidRDefault="005C3558">
            <w:pPr>
              <w:jc w:val="left"/>
              <w:rPr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0A1F" w14:textId="77777777" w:rsidR="005C3558" w:rsidRDefault="005C3558">
            <w:pPr>
              <w:spacing w:before="120" w:after="120"/>
              <w:ind w:left="10" w:hanging="10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có cam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kết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1C75" w14:textId="77777777" w:rsidR="005C3558" w:rsidRDefault="005C3558">
            <w:pPr>
              <w:spacing w:before="120" w:after="120"/>
              <w:ind w:left="10" w:hanging="10"/>
              <w:jc w:val="center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đạt</w:t>
            </w:r>
            <w:proofErr w:type="spellEnd"/>
          </w:p>
        </w:tc>
      </w:tr>
    </w:tbl>
    <w:p w14:paraId="6B3BAD3F" w14:textId="77777777" w:rsidR="00525294" w:rsidRDefault="00525294"/>
    <w:sectPr w:rsidR="00525294" w:rsidSect="005C3558">
      <w:pgSz w:w="11906" w:h="16838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2F"/>
    <w:rsid w:val="00525294"/>
    <w:rsid w:val="005C3558"/>
    <w:rsid w:val="0071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30F9"/>
  <w15:chartTrackingRefBased/>
  <w15:docId w15:val="{0C3145AF-5D47-402D-8308-E94A828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2025-08-07T11:20:00Z</dcterms:created>
  <dcterms:modified xsi:type="dcterms:W3CDTF">2025-08-07T11:24:00Z</dcterms:modified>
</cp:coreProperties>
</file>