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FD" w:rsidRPr="003216FD" w:rsidRDefault="004828FD" w:rsidP="004828FD">
      <w:pPr>
        <w:jc w:val="center"/>
        <w:outlineLvl w:val="0"/>
        <w:rPr>
          <w:b/>
          <w:sz w:val="28"/>
          <w:szCs w:val="28"/>
          <w:lang w:val="nl-NL"/>
        </w:rPr>
      </w:pPr>
      <w:r w:rsidRPr="003216FD">
        <w:rPr>
          <w:b/>
          <w:sz w:val="28"/>
          <w:szCs w:val="28"/>
          <w:lang w:val="nl-NL"/>
        </w:rPr>
        <w:t>Phần 2. YÊU CẦU VỀ KỸ THUẬT</w:t>
      </w:r>
    </w:p>
    <w:p w:rsidR="004828FD" w:rsidRPr="003216FD" w:rsidRDefault="004828FD" w:rsidP="004828FD">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4828FD" w:rsidRPr="003216FD" w:rsidRDefault="004828FD" w:rsidP="004828FD">
      <w:pPr>
        <w:pStyle w:val="Subtitle"/>
        <w:rPr>
          <w:sz w:val="28"/>
          <w:szCs w:val="28"/>
          <w:lang w:val="nl-NL"/>
        </w:rPr>
      </w:pPr>
    </w:p>
    <w:p w:rsidR="004828FD" w:rsidRDefault="004828FD" w:rsidP="004828FD">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4828FD" w:rsidRPr="00883897" w:rsidRDefault="004828FD" w:rsidP="004828FD">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4828FD" w:rsidRPr="000405D8" w:rsidRDefault="004828FD" w:rsidP="004828FD">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4828FD" w:rsidRPr="000405D8" w:rsidRDefault="004828FD" w:rsidP="004828FD">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14: Mua 1.500 tấn gạo nhập kho DTQG năm 2025 tại kho Gia Hà - ĐK10.KV7</w:t>
      </w:r>
      <w:r w:rsidRPr="000405D8">
        <w:rPr>
          <w:sz w:val="28"/>
          <w:szCs w:val="28"/>
          <w:lang w:val="vi-VN"/>
        </w:rPr>
        <w:fldChar w:fldCharType="end"/>
      </w:r>
      <w:r w:rsidRPr="000405D8">
        <w:rPr>
          <w:sz w:val="28"/>
          <w:szCs w:val="28"/>
        </w:rPr>
        <w:t>.</w:t>
      </w:r>
    </w:p>
    <w:p w:rsidR="004828FD" w:rsidRPr="000405D8" w:rsidRDefault="004828FD" w:rsidP="004828FD">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4828FD" w:rsidRPr="00284501" w:rsidRDefault="004828FD" w:rsidP="004828FD">
      <w:pPr>
        <w:widowControl w:val="0"/>
        <w:spacing w:before="120" w:after="120" w:line="312" w:lineRule="auto"/>
        <w:ind w:firstLine="567"/>
        <w:rPr>
          <w:color w:val="EE0000"/>
          <w:sz w:val="28"/>
          <w:szCs w:val="28"/>
          <w:lang w:val="vi-VN"/>
        </w:rPr>
      </w:pPr>
      <w:r w:rsidRPr="000405D8">
        <w:rPr>
          <w:sz w:val="28"/>
          <w:szCs w:val="28"/>
          <w:lang w:val="vi-VN"/>
        </w:rPr>
        <w:t xml:space="preserve">c. Địa điểm thực hiện gói thầu: </w:t>
      </w: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Gia Hà - ĐK10.KV7 (Xã Quảng Ngọc, tỉnh Thanh Hóa)</w:t>
      </w:r>
      <w:r>
        <w:rPr>
          <w:color w:val="EE0000"/>
          <w:sz w:val="28"/>
          <w:szCs w:val="28"/>
          <w:lang w:val="vi-VN"/>
        </w:rPr>
        <w:fldChar w:fldCharType="end"/>
      </w:r>
      <w:r>
        <w:rPr>
          <w:color w:val="EE0000"/>
          <w:sz w:val="28"/>
          <w:szCs w:val="28"/>
          <w:lang w:val="vi-VN"/>
        </w:rPr>
        <w:t>.</w:t>
      </w:r>
    </w:p>
    <w:p w:rsidR="004828FD" w:rsidRPr="000405D8" w:rsidRDefault="004828FD" w:rsidP="004828FD">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4828FD" w:rsidRPr="000405D8" w:rsidRDefault="004828FD" w:rsidP="004828FD">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4828FD" w:rsidRPr="000405D8" w:rsidRDefault="004828FD" w:rsidP="004828FD">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4828FD" w:rsidRPr="000405D8" w:rsidRDefault="004828FD" w:rsidP="004828FD">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4828FD" w:rsidRPr="000405D8" w:rsidRDefault="004828FD" w:rsidP="004828FD">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4828FD" w:rsidRPr="000405D8" w:rsidRDefault="004828FD" w:rsidP="004828FD">
      <w:pPr>
        <w:spacing w:before="120" w:after="120" w:line="312" w:lineRule="auto"/>
        <w:ind w:firstLine="567"/>
        <w:rPr>
          <w:sz w:val="28"/>
          <w:szCs w:val="28"/>
          <w:lang w:val="vi-VN"/>
        </w:rPr>
      </w:pPr>
      <w:bookmarkStart w:id="0"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0"/>
      <w:r w:rsidRPr="000405D8">
        <w:rPr>
          <w:sz w:val="28"/>
          <w:szCs w:val="28"/>
          <w:lang w:val="vi-VN"/>
        </w:rPr>
        <w:t>cho gói thầu để đảm bảo quá trình nhập kho được bảo quản theo lô riêng, không để lẫn hai loại hình hạt.</w:t>
      </w:r>
    </w:p>
    <w:p w:rsidR="004828FD" w:rsidRPr="000405D8" w:rsidRDefault="004828FD" w:rsidP="004828FD">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4828FD" w:rsidRPr="000405D8" w:rsidRDefault="004828FD" w:rsidP="004828FD">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4828FD" w:rsidRPr="000405D8" w:rsidRDefault="004828FD" w:rsidP="004828FD">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4828FD" w:rsidRPr="000405D8" w:rsidRDefault="004828FD" w:rsidP="004828FD">
      <w:pPr>
        <w:spacing w:before="120" w:after="120" w:line="312" w:lineRule="auto"/>
        <w:ind w:firstLine="567"/>
        <w:rPr>
          <w:sz w:val="28"/>
          <w:szCs w:val="28"/>
        </w:rPr>
      </w:pPr>
      <w:r w:rsidRPr="000405D8">
        <w:rPr>
          <w:sz w:val="28"/>
          <w:szCs w:val="28"/>
        </w:rPr>
        <w:t>- Tạp chất: Không có tạp chất lạ.</w:t>
      </w:r>
    </w:p>
    <w:p w:rsidR="004828FD" w:rsidRPr="000405D8" w:rsidRDefault="004828FD" w:rsidP="004828FD">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4828FD" w:rsidRPr="000405D8" w:rsidRDefault="004828FD" w:rsidP="004828FD">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4828FD" w:rsidRPr="000405D8" w:rsidRDefault="004828FD" w:rsidP="004828FD">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4828FD" w:rsidRPr="000405D8" w:rsidRDefault="004828FD" w:rsidP="004828FD">
      <w:pPr>
        <w:spacing w:before="120" w:after="120" w:line="312" w:lineRule="auto"/>
        <w:ind w:firstLine="567"/>
        <w:rPr>
          <w:sz w:val="28"/>
          <w:szCs w:val="28"/>
          <w:lang w:val="vi-VN"/>
        </w:rPr>
      </w:pPr>
      <w:r w:rsidRPr="000405D8">
        <w:rPr>
          <w:sz w:val="28"/>
          <w:szCs w:val="28"/>
          <w:lang w:val="vi-VN"/>
        </w:rPr>
        <w:t>- Độ ẩm (% khối lượng): Không lớn hơn 14 %;</w:t>
      </w:r>
    </w:p>
    <w:p w:rsidR="004828FD" w:rsidRPr="000405D8" w:rsidRDefault="004828FD" w:rsidP="004828FD">
      <w:pPr>
        <w:spacing w:before="120" w:after="120" w:line="312" w:lineRule="auto"/>
        <w:ind w:firstLine="567"/>
        <w:rPr>
          <w:sz w:val="28"/>
          <w:szCs w:val="28"/>
          <w:lang w:val="vi-VN"/>
        </w:rPr>
      </w:pPr>
      <w:r w:rsidRPr="000405D8">
        <w:rPr>
          <w:sz w:val="28"/>
          <w:szCs w:val="28"/>
          <w:lang w:val="vi-VN"/>
        </w:rPr>
        <w:t>- Kích thước hạt (mm):</w:t>
      </w:r>
    </w:p>
    <w:p w:rsidR="004828FD" w:rsidRPr="000405D8" w:rsidRDefault="004828FD" w:rsidP="004828FD">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4828FD" w:rsidRPr="000405D8" w:rsidRDefault="004828FD" w:rsidP="004828FD">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4828FD" w:rsidRPr="000405D8" w:rsidRDefault="004828FD" w:rsidP="004828FD">
      <w:pPr>
        <w:spacing w:before="120" w:after="120" w:line="312" w:lineRule="auto"/>
        <w:ind w:firstLine="720"/>
        <w:rPr>
          <w:i/>
          <w:iCs/>
          <w:sz w:val="28"/>
          <w:szCs w:val="28"/>
        </w:rPr>
      </w:pPr>
      <w:bookmarkStart w:id="1" w:name="_Hlk204085577"/>
      <w:r w:rsidRPr="000405D8">
        <w:rPr>
          <w:i/>
          <w:iCs/>
          <w:sz w:val="28"/>
          <w:szCs w:val="28"/>
        </w:rPr>
        <w:t>(L là chiều dài trung bình của hạt gạo)</w:t>
      </w:r>
      <w:bookmarkEnd w:id="1"/>
    </w:p>
    <w:p w:rsidR="004828FD" w:rsidRPr="000405D8" w:rsidRDefault="004828FD" w:rsidP="004828FD">
      <w:pPr>
        <w:spacing w:before="120" w:after="120" w:line="312" w:lineRule="auto"/>
        <w:ind w:firstLine="425"/>
        <w:rPr>
          <w:sz w:val="28"/>
          <w:szCs w:val="28"/>
          <w:lang w:val="vi-VN"/>
        </w:rPr>
      </w:pPr>
      <w:r w:rsidRPr="000405D8">
        <w:rPr>
          <w:sz w:val="28"/>
          <w:szCs w:val="28"/>
          <w:lang w:val="vi-VN"/>
        </w:rPr>
        <w:t>- % Khối lượng tấm: Không lớn hơn 15 %;</w:t>
      </w:r>
    </w:p>
    <w:p w:rsidR="004828FD" w:rsidRPr="00883897" w:rsidRDefault="004828FD" w:rsidP="004828FD">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4828FD" w:rsidRPr="00883897" w:rsidRDefault="004828FD" w:rsidP="004828FD">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4828FD" w:rsidRPr="00AB000A" w:rsidRDefault="004828FD" w:rsidP="004828FD">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4828FD" w:rsidRPr="000405D8" w:rsidRDefault="004828FD" w:rsidP="004828FD">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4828FD" w:rsidRPr="000405D8" w:rsidRDefault="004828FD" w:rsidP="004828FD">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4E956BA3" wp14:editId="554F1F16">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4828FD" w:rsidRPr="000405D8" w:rsidRDefault="004828FD" w:rsidP="004828FD">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4828FD" w:rsidRPr="000405D8" w:rsidRDefault="004828FD" w:rsidP="004828FD">
      <w:pPr>
        <w:spacing w:before="120" w:after="120" w:line="312" w:lineRule="auto"/>
        <w:ind w:left="4167" w:firstLine="153"/>
        <w:rPr>
          <w:lang w:val="nl-NL"/>
        </w:rPr>
      </w:pPr>
      <w:r w:rsidRPr="000405D8">
        <w:rPr>
          <w:sz w:val="28"/>
          <w:szCs w:val="28"/>
          <w:lang w:val="vi-VN"/>
        </w:rPr>
        <w:t>- Tấm nhỏ ≤ 0,5 %.</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4828FD" w:rsidRPr="000405D8" w:rsidRDefault="004828FD" w:rsidP="004828FD">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4828FD" w:rsidRPr="000405D8" w:rsidRDefault="004828FD" w:rsidP="004828FD">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4828FD" w:rsidRPr="000405D8" w:rsidRDefault="004828FD" w:rsidP="004828FD">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4828FD" w:rsidRPr="000405D8" w:rsidRDefault="004828FD" w:rsidP="004828FD">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4828FD" w:rsidRPr="000405D8" w:rsidRDefault="004828FD" w:rsidP="004828FD">
      <w:pPr>
        <w:spacing w:before="120" w:after="120" w:line="312" w:lineRule="auto"/>
        <w:ind w:firstLine="426"/>
        <w:rPr>
          <w:sz w:val="28"/>
          <w:szCs w:val="28"/>
          <w:lang w:val="vi-VN"/>
        </w:rPr>
      </w:pPr>
      <w:r w:rsidRPr="000405D8">
        <w:rPr>
          <w:sz w:val="28"/>
          <w:szCs w:val="28"/>
          <w:lang w:val="vi-VN"/>
        </w:rPr>
        <w:tab/>
        <w:t>+ Azoxystrobin: Không lớn hơn 5 mg/kg;</w:t>
      </w:r>
    </w:p>
    <w:p w:rsidR="004828FD" w:rsidRPr="000405D8" w:rsidRDefault="004828FD" w:rsidP="004828FD">
      <w:pPr>
        <w:spacing w:before="120" w:after="120" w:line="312" w:lineRule="auto"/>
        <w:ind w:firstLine="426"/>
        <w:rPr>
          <w:sz w:val="28"/>
          <w:szCs w:val="28"/>
          <w:lang w:val="vi-VN"/>
        </w:rPr>
      </w:pPr>
      <w:r w:rsidRPr="000405D8">
        <w:rPr>
          <w:sz w:val="28"/>
          <w:szCs w:val="28"/>
          <w:lang w:val="vi-VN"/>
        </w:rPr>
        <w:tab/>
        <w:t>+ Carbaryl: Không lớn hơn 1 mg/kg;</w:t>
      </w:r>
    </w:p>
    <w:p w:rsidR="004828FD" w:rsidRPr="000405D8" w:rsidRDefault="004828FD" w:rsidP="004828FD">
      <w:pPr>
        <w:spacing w:before="120" w:after="120" w:line="312" w:lineRule="auto"/>
        <w:ind w:firstLine="426"/>
        <w:rPr>
          <w:sz w:val="28"/>
          <w:szCs w:val="28"/>
          <w:lang w:val="vi-VN"/>
        </w:rPr>
      </w:pPr>
      <w:r w:rsidRPr="000405D8">
        <w:rPr>
          <w:sz w:val="28"/>
          <w:szCs w:val="28"/>
          <w:lang w:val="vi-VN"/>
        </w:rPr>
        <w:tab/>
        <w:t>+ Chlorpyrifos – Methyl: Không lớn hơn 0,1 mg/kg;</w:t>
      </w:r>
    </w:p>
    <w:p w:rsidR="004828FD" w:rsidRPr="000405D8" w:rsidRDefault="004828FD" w:rsidP="004828FD">
      <w:pPr>
        <w:spacing w:before="120" w:after="120" w:line="312" w:lineRule="auto"/>
        <w:ind w:firstLine="426"/>
        <w:rPr>
          <w:sz w:val="28"/>
          <w:szCs w:val="28"/>
          <w:lang w:val="vi-VN"/>
        </w:rPr>
      </w:pPr>
      <w:r w:rsidRPr="000405D8">
        <w:rPr>
          <w:sz w:val="28"/>
          <w:szCs w:val="28"/>
          <w:lang w:val="vi-VN"/>
        </w:rPr>
        <w:tab/>
        <w:t>+ Chlorantraniliprole: Không lớn hơn 0,4 mg/kg;</w:t>
      </w:r>
    </w:p>
    <w:p w:rsidR="004828FD" w:rsidRPr="000405D8" w:rsidRDefault="004828FD" w:rsidP="004828FD">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4828FD" w:rsidRPr="000405D8" w:rsidRDefault="004828FD" w:rsidP="004828FD">
      <w:pPr>
        <w:spacing w:before="120" w:after="120" w:line="312" w:lineRule="auto"/>
        <w:ind w:firstLine="426"/>
        <w:rPr>
          <w:sz w:val="28"/>
          <w:szCs w:val="28"/>
        </w:rPr>
      </w:pPr>
      <w:r w:rsidRPr="000405D8">
        <w:rPr>
          <w:sz w:val="28"/>
          <w:szCs w:val="28"/>
        </w:rPr>
        <w:tab/>
        <w:t>+ Cyhalothrin (bao gồm lambda-Cyhalothrin): Không lớn hơn 1 mg/kg;</w:t>
      </w:r>
    </w:p>
    <w:p w:rsidR="004828FD" w:rsidRPr="000405D8" w:rsidRDefault="004828FD" w:rsidP="004828FD">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4828FD" w:rsidRPr="000405D8" w:rsidRDefault="004828FD" w:rsidP="004828FD">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4828FD" w:rsidRPr="000405D8" w:rsidRDefault="004828FD" w:rsidP="004828FD">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4828FD" w:rsidRPr="000405D8" w:rsidRDefault="004828FD" w:rsidP="004828FD">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Iprodione: Không lớn hơn 10 mg/kg;</w:t>
      </w:r>
    </w:p>
    <w:p w:rsidR="004828FD" w:rsidRPr="000405D8" w:rsidRDefault="004828FD" w:rsidP="004828FD">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4828FD" w:rsidRPr="000405D8" w:rsidRDefault="004828FD" w:rsidP="004828FD">
      <w:pPr>
        <w:spacing w:before="120" w:after="120" w:line="312" w:lineRule="auto"/>
        <w:ind w:firstLine="426"/>
        <w:rPr>
          <w:sz w:val="28"/>
          <w:szCs w:val="28"/>
        </w:rPr>
      </w:pPr>
      <w:r w:rsidRPr="000405D8">
        <w:rPr>
          <w:sz w:val="28"/>
          <w:szCs w:val="28"/>
        </w:rPr>
        <w:tab/>
        <w:t>+ Trifloxystrobin: Không lớn hơn 5 mg/kg.</w:t>
      </w:r>
    </w:p>
    <w:p w:rsidR="004828FD" w:rsidRPr="000405D8" w:rsidRDefault="004828FD" w:rsidP="004828FD">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4828FD" w:rsidRPr="000405D8" w:rsidRDefault="004828FD" w:rsidP="004828FD">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4828FD" w:rsidRPr="000405D8" w:rsidRDefault="004828FD" w:rsidP="004828FD">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4828FD" w:rsidRPr="000405D8" w:rsidRDefault="004828FD" w:rsidP="004828FD">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4828FD" w:rsidRPr="000405D8" w:rsidRDefault="004828FD" w:rsidP="004828FD">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4828FD" w:rsidRPr="000405D8" w:rsidRDefault="004828FD" w:rsidP="004828FD">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4828FD" w:rsidRPr="000405D8" w:rsidRDefault="004828FD" w:rsidP="004828FD">
      <w:pPr>
        <w:spacing w:before="120" w:after="120" w:line="312" w:lineRule="auto"/>
        <w:ind w:firstLine="425"/>
        <w:rPr>
          <w:sz w:val="28"/>
          <w:szCs w:val="28"/>
        </w:rPr>
      </w:pPr>
      <w:r w:rsidRPr="000405D8">
        <w:rPr>
          <w:sz w:val="28"/>
          <w:szCs w:val="28"/>
        </w:rPr>
        <w:tab/>
        <w:t>+ Hàm lượng aflatoxin tổng số: Không lớn hơn 10 µg/kg.</w:t>
      </w:r>
    </w:p>
    <w:p w:rsidR="004828FD" w:rsidRPr="000405D8" w:rsidRDefault="004828FD" w:rsidP="004828FD">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4828FD" w:rsidRPr="005A52FB" w:rsidRDefault="004828FD" w:rsidP="004828FD">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4828FD" w:rsidRPr="000405D8" w:rsidRDefault="004828FD" w:rsidP="004828FD">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4828FD" w:rsidRPr="000405D8" w:rsidRDefault="004828FD" w:rsidP="004828FD">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4828FD" w:rsidRPr="000405D8" w:rsidRDefault="004828FD" w:rsidP="004828FD">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Gia Hà - ĐK10.KV7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4828FD" w:rsidRPr="00751E33" w:rsidRDefault="004828FD" w:rsidP="004828FD">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4828FD" w:rsidRPr="000405D8" w:rsidRDefault="004828FD" w:rsidP="004828FD">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4828FD" w:rsidRPr="000405D8" w:rsidRDefault="004828FD" w:rsidP="004828FD">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4828FD" w:rsidRPr="000405D8" w:rsidRDefault="004828FD" w:rsidP="004828FD">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4828FD" w:rsidRPr="000405D8" w:rsidRDefault="004828FD" w:rsidP="004828FD">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Gia Hà - ĐK10.KV7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4828FD" w:rsidRPr="000405D8" w:rsidRDefault="004828FD" w:rsidP="004828FD">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4828FD" w:rsidRPr="000405D8" w:rsidRDefault="004828FD" w:rsidP="004828FD">
      <w:pPr>
        <w:spacing w:before="120" w:after="120" w:line="312" w:lineRule="auto"/>
        <w:ind w:firstLine="567"/>
        <w:rPr>
          <w:b/>
          <w:sz w:val="28"/>
          <w:szCs w:val="28"/>
          <w:lang w:val="vi-VN"/>
        </w:rPr>
      </w:pPr>
      <w:r w:rsidRPr="000405D8">
        <w:rPr>
          <w:b/>
          <w:sz w:val="28"/>
          <w:szCs w:val="28"/>
          <w:lang w:val="vi-VN"/>
        </w:rPr>
        <w:t>Mục 3. Kiểm tra và thử nghiệm hàng hóa:</w:t>
      </w:r>
    </w:p>
    <w:p w:rsidR="004828FD" w:rsidRPr="000405D8" w:rsidRDefault="004828FD" w:rsidP="004828FD">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14: Mua 1.500 tấn gạo nhập kho DTQG năm 2025 tại kho Gia Hà - ĐK10.KV7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4828FD" w:rsidRPr="000405D8" w:rsidRDefault="004828FD" w:rsidP="004828FD">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4828FD" w:rsidRPr="000405D8" w:rsidRDefault="004828FD" w:rsidP="004828FD">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4828FD" w:rsidRPr="000405D8" w:rsidRDefault="004828FD" w:rsidP="004828FD">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4828FD" w:rsidRPr="005649E3" w:rsidRDefault="004828FD" w:rsidP="004828FD">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4828FD" w:rsidRDefault="004828FD" w:rsidP="004828FD">
      <w:pPr>
        <w:spacing w:after="200" w:line="276" w:lineRule="auto"/>
        <w:jc w:val="left"/>
        <w:rPr>
          <w:b/>
          <w:sz w:val="28"/>
        </w:rPr>
      </w:pPr>
      <w:r>
        <w:rPr>
          <w:sz w:val="28"/>
        </w:rPr>
        <w:br w:type="page"/>
      </w:r>
    </w:p>
    <w:p w:rsidR="004828FD" w:rsidRDefault="004828FD" w:rsidP="004828FD"/>
    <w:p w:rsidR="009C5AB1" w:rsidRDefault="009C5AB1">
      <w:bookmarkStart w:id="2" w:name="_GoBack"/>
      <w:bookmarkEnd w:id="2"/>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FD"/>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828FD"/>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FD"/>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8FD"/>
    <w:rPr>
      <w:sz w:val="20"/>
    </w:rPr>
  </w:style>
  <w:style w:type="character" w:customStyle="1" w:styleId="FooterChar">
    <w:name w:val="Footer Char"/>
    <w:basedOn w:val="DefaultParagraphFont"/>
    <w:link w:val="Footer"/>
    <w:uiPriority w:val="99"/>
    <w:rsid w:val="004828FD"/>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4828F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828FD"/>
    <w:rPr>
      <w:rFonts w:eastAsia="Times New Roman" w:cs="Times New Roman"/>
      <w:sz w:val="24"/>
      <w:szCs w:val="20"/>
      <w:lang w:val="en-US"/>
    </w:rPr>
  </w:style>
  <w:style w:type="paragraph" w:styleId="Subtitle">
    <w:name w:val="Subtitle"/>
    <w:basedOn w:val="Normal"/>
    <w:link w:val="SubtitleChar"/>
    <w:qFormat/>
    <w:rsid w:val="004828FD"/>
    <w:pPr>
      <w:jc w:val="center"/>
    </w:pPr>
    <w:rPr>
      <w:b/>
      <w:sz w:val="44"/>
    </w:rPr>
  </w:style>
  <w:style w:type="character" w:customStyle="1" w:styleId="SubtitleChar">
    <w:name w:val="Subtitle Char"/>
    <w:basedOn w:val="DefaultParagraphFont"/>
    <w:link w:val="Subtitle"/>
    <w:rsid w:val="004828FD"/>
    <w:rPr>
      <w:rFonts w:eastAsia="Times New Roman" w:cs="Times New Roman"/>
      <w:b/>
      <w:sz w:val="44"/>
      <w:szCs w:val="20"/>
      <w:lang w:val="en-US"/>
    </w:rPr>
  </w:style>
  <w:style w:type="paragraph" w:customStyle="1" w:styleId="SectionVIHeader">
    <w:name w:val="Section VI. Header"/>
    <w:basedOn w:val="Normal"/>
    <w:rsid w:val="004828FD"/>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FD"/>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8FD"/>
    <w:rPr>
      <w:sz w:val="20"/>
    </w:rPr>
  </w:style>
  <w:style w:type="character" w:customStyle="1" w:styleId="FooterChar">
    <w:name w:val="Footer Char"/>
    <w:basedOn w:val="DefaultParagraphFont"/>
    <w:link w:val="Footer"/>
    <w:uiPriority w:val="99"/>
    <w:rsid w:val="004828FD"/>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4828F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828FD"/>
    <w:rPr>
      <w:rFonts w:eastAsia="Times New Roman" w:cs="Times New Roman"/>
      <w:sz w:val="24"/>
      <w:szCs w:val="20"/>
      <w:lang w:val="en-US"/>
    </w:rPr>
  </w:style>
  <w:style w:type="paragraph" w:styleId="Subtitle">
    <w:name w:val="Subtitle"/>
    <w:basedOn w:val="Normal"/>
    <w:link w:val="SubtitleChar"/>
    <w:qFormat/>
    <w:rsid w:val="004828FD"/>
    <w:pPr>
      <w:jc w:val="center"/>
    </w:pPr>
    <w:rPr>
      <w:b/>
      <w:sz w:val="44"/>
    </w:rPr>
  </w:style>
  <w:style w:type="character" w:customStyle="1" w:styleId="SubtitleChar">
    <w:name w:val="Subtitle Char"/>
    <w:basedOn w:val="DefaultParagraphFont"/>
    <w:link w:val="Subtitle"/>
    <w:rsid w:val="004828FD"/>
    <w:rPr>
      <w:rFonts w:eastAsia="Times New Roman" w:cs="Times New Roman"/>
      <w:b/>
      <w:sz w:val="44"/>
      <w:szCs w:val="20"/>
      <w:lang w:val="en-US"/>
    </w:rPr>
  </w:style>
  <w:style w:type="paragraph" w:customStyle="1" w:styleId="SectionVIHeader">
    <w:name w:val="Section VI. Header"/>
    <w:basedOn w:val="Normal"/>
    <w:rsid w:val="004828F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2025-08-06T10:20:00Z</dcterms:created>
  <dcterms:modified xsi:type="dcterms:W3CDTF">2025-08-06T10:20:00Z</dcterms:modified>
</cp:coreProperties>
</file>