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57254" w14:textId="70119DE6" w:rsidR="0040578F" w:rsidRDefault="000C504F" w:rsidP="007147EC">
      <w:pPr>
        <w:jc w:val="center"/>
        <w:rPr>
          <w:b/>
          <w:bCs/>
        </w:rPr>
      </w:pPr>
      <w:r w:rsidRPr="007147EC">
        <w:rPr>
          <w:b/>
          <w:bCs/>
        </w:rPr>
        <w:t>PHỤ LỤC CÁC NỘI DUNG ĐIỀU CHỈNH E-HSMT</w:t>
      </w:r>
    </w:p>
    <w:p w14:paraId="5CB93C02" w14:textId="42E7EF47" w:rsidR="007147EC" w:rsidRPr="007147EC" w:rsidRDefault="007147EC" w:rsidP="007147EC">
      <w:pPr>
        <w:ind w:firstLine="5245"/>
        <w:jc w:val="left"/>
        <w:rPr>
          <w:i/>
          <w:iCs w:val="0"/>
        </w:rPr>
      </w:pPr>
      <w:r w:rsidRPr="007147EC">
        <w:rPr>
          <w:i/>
          <w:iCs w:val="0"/>
        </w:rPr>
        <w:t xml:space="preserve">Kèm theo </w:t>
      </w:r>
      <w:r w:rsidR="00F92755">
        <w:rPr>
          <w:i/>
          <w:iCs w:val="0"/>
        </w:rPr>
        <w:t>tờ trình</w:t>
      </w:r>
      <w:r w:rsidRPr="007147EC">
        <w:rPr>
          <w:i/>
          <w:iCs w:val="0"/>
        </w:rPr>
        <w:t xml:space="preserve"> số </w:t>
      </w:r>
    </w:p>
    <w:tbl>
      <w:tblPr>
        <w:tblStyle w:val="TableGrid"/>
        <w:tblW w:w="15304" w:type="dxa"/>
        <w:tblLook w:val="04A0" w:firstRow="1" w:lastRow="0" w:firstColumn="1" w:lastColumn="0" w:noHBand="0" w:noVBand="1"/>
      </w:tblPr>
      <w:tblGrid>
        <w:gridCol w:w="704"/>
        <w:gridCol w:w="7140"/>
        <w:gridCol w:w="7460"/>
      </w:tblGrid>
      <w:tr w:rsidR="000B41A6" w:rsidRPr="00837919" w14:paraId="545D4E80" w14:textId="77777777" w:rsidTr="00AE0F0B">
        <w:tc>
          <w:tcPr>
            <w:tcW w:w="704" w:type="dxa"/>
          </w:tcPr>
          <w:p w14:paraId="3D16206B" w14:textId="04912E71" w:rsidR="00EF6736" w:rsidRPr="00837919" w:rsidRDefault="00EF6736" w:rsidP="00EF6736">
            <w:pPr>
              <w:jc w:val="center"/>
            </w:pPr>
            <w:r w:rsidRPr="00837919">
              <w:t>TT</w:t>
            </w:r>
          </w:p>
        </w:tc>
        <w:tc>
          <w:tcPr>
            <w:tcW w:w="7140" w:type="dxa"/>
          </w:tcPr>
          <w:p w14:paraId="14E66EDB" w14:textId="5546F0BB" w:rsidR="00EF6736" w:rsidRPr="00837919" w:rsidRDefault="00EF6736" w:rsidP="00EF6736">
            <w:pPr>
              <w:jc w:val="center"/>
            </w:pPr>
            <w:r w:rsidRPr="00837919">
              <w:t>Các nội dung đã phát hành</w:t>
            </w:r>
          </w:p>
        </w:tc>
        <w:tc>
          <w:tcPr>
            <w:tcW w:w="7460" w:type="dxa"/>
          </w:tcPr>
          <w:p w14:paraId="6737940F" w14:textId="23621BD9" w:rsidR="00EF6736" w:rsidRPr="00837919" w:rsidRDefault="00EF6736" w:rsidP="00EF6736">
            <w:pPr>
              <w:jc w:val="center"/>
            </w:pPr>
            <w:r w:rsidRPr="00837919">
              <w:t>Các nội dung hiệu chỉnh</w:t>
            </w:r>
          </w:p>
        </w:tc>
      </w:tr>
      <w:tr w:rsidR="00837919" w:rsidRPr="00837919" w14:paraId="000EB334" w14:textId="77777777" w:rsidTr="00AE0F0B">
        <w:tc>
          <w:tcPr>
            <w:tcW w:w="704" w:type="dxa"/>
          </w:tcPr>
          <w:p w14:paraId="68A05BB2" w14:textId="4EFD7B1A" w:rsidR="00EF6736" w:rsidRPr="00837919" w:rsidRDefault="00EF6736" w:rsidP="00EF6736">
            <w:r w:rsidRPr="00837919">
              <w:t>1</w:t>
            </w:r>
          </w:p>
        </w:tc>
        <w:tc>
          <w:tcPr>
            <w:tcW w:w="7140" w:type="dxa"/>
          </w:tcPr>
          <w:p w14:paraId="6AEAB1AC" w14:textId="1F79BB91" w:rsidR="00EF6736" w:rsidRPr="00837919" w:rsidRDefault="00EF6736" w:rsidP="00EF6736">
            <w:r w:rsidRPr="00837919">
              <w:t>Chương II – Bảng dữ liệu đấu thầu</w:t>
            </w:r>
          </w:p>
        </w:tc>
        <w:tc>
          <w:tcPr>
            <w:tcW w:w="7460" w:type="dxa"/>
          </w:tcPr>
          <w:p w14:paraId="48AF16E9" w14:textId="05D32C40" w:rsidR="00EF6736" w:rsidRPr="00837919" w:rsidRDefault="00EF6736" w:rsidP="00EF6736">
            <w:r w:rsidRPr="00837919">
              <w:t>Chương II – Bảng dữ liệu đấu thầu</w:t>
            </w:r>
          </w:p>
        </w:tc>
      </w:tr>
      <w:tr w:rsidR="00837919" w:rsidRPr="00837919" w14:paraId="268C7ED2" w14:textId="77777777" w:rsidTr="00AE0F0B">
        <w:tc>
          <w:tcPr>
            <w:tcW w:w="704" w:type="dxa"/>
          </w:tcPr>
          <w:p w14:paraId="39FA15B4" w14:textId="77777777" w:rsidR="00EF6736" w:rsidRPr="00837919" w:rsidRDefault="00EF6736" w:rsidP="00EF6736"/>
        </w:tc>
        <w:tc>
          <w:tcPr>
            <w:tcW w:w="7140" w:type="dxa"/>
          </w:tcPr>
          <w:p w14:paraId="4A1F68D7" w14:textId="67EFE4B8" w:rsidR="00EF6736" w:rsidRPr="00837919" w:rsidRDefault="00EF6736" w:rsidP="00EF6736">
            <w:pPr>
              <w:widowControl w:val="0"/>
              <w:tabs>
                <w:tab w:val="left" w:pos="1418"/>
                <w:tab w:val="right" w:pos="7434"/>
              </w:tabs>
              <w:spacing w:before="120" w:line="259" w:lineRule="auto"/>
              <w:rPr>
                <w:bCs/>
              </w:rPr>
            </w:pPr>
            <w:r w:rsidRPr="00837919">
              <w:rPr>
                <w:bCs/>
              </w:rPr>
              <w:t xml:space="preserve">E-CDNT 18.2: </w:t>
            </w:r>
            <w:r w:rsidRPr="00837919">
              <w:rPr>
                <w:bCs/>
                <w:lang w:val="it-IT"/>
              </w:rPr>
              <w:t xml:space="preserve">Giá trị bảo đảm dự thầu: </w:t>
            </w:r>
            <w:r w:rsidRPr="00837919">
              <w:rPr>
                <w:lang w:val="it-IT"/>
              </w:rPr>
              <w:t>3.263.000.000 VNĐ</w:t>
            </w:r>
          </w:p>
        </w:tc>
        <w:tc>
          <w:tcPr>
            <w:tcW w:w="7460" w:type="dxa"/>
          </w:tcPr>
          <w:p w14:paraId="3205E0C4" w14:textId="2DF28F92" w:rsidR="00EF6736" w:rsidRPr="00837919" w:rsidRDefault="00EF6736" w:rsidP="00EF6736">
            <w:r w:rsidRPr="00837919">
              <w:t xml:space="preserve">E-CDNT 18.2: Giá trị bảo đảm dự thầu: </w:t>
            </w:r>
            <w:r w:rsidR="000B41A6" w:rsidRPr="00837919">
              <w:rPr>
                <w:rFonts w:eastAsia="Times New Roman"/>
                <w:iCs w:val="0"/>
                <w:spacing w:val="0"/>
                <w:lang w:val="it-IT"/>
              </w:rPr>
              <w:t>3.278.000.000 VNĐ</w:t>
            </w:r>
            <w:r w:rsidR="00837919">
              <w:rPr>
                <w:rFonts w:eastAsia="Times New Roman"/>
                <w:iCs w:val="0"/>
                <w:spacing w:val="0"/>
                <w:lang w:val="it-IT"/>
              </w:rPr>
              <w:t>;</w:t>
            </w:r>
          </w:p>
        </w:tc>
      </w:tr>
      <w:tr w:rsidR="000B41A6" w:rsidRPr="00837919" w14:paraId="5F2A9252" w14:textId="77777777" w:rsidTr="00AE0F0B">
        <w:tc>
          <w:tcPr>
            <w:tcW w:w="704" w:type="dxa"/>
          </w:tcPr>
          <w:p w14:paraId="1A995D4B" w14:textId="2F461EED" w:rsidR="00EF6736" w:rsidRPr="00837919" w:rsidRDefault="00EF6736" w:rsidP="00EF6736">
            <w:r w:rsidRPr="00837919">
              <w:t>2</w:t>
            </w:r>
          </w:p>
        </w:tc>
        <w:tc>
          <w:tcPr>
            <w:tcW w:w="7140" w:type="dxa"/>
          </w:tcPr>
          <w:p w14:paraId="436AA0F0" w14:textId="77777777" w:rsidR="00EF6736" w:rsidRPr="00837919" w:rsidRDefault="00EF6736" w:rsidP="00EF6736">
            <w:pPr>
              <w:rPr>
                <w:bCs/>
              </w:rPr>
            </w:pPr>
            <w:r w:rsidRPr="00837919">
              <w:rPr>
                <w:bCs/>
              </w:rPr>
              <w:t xml:space="preserve">Chương III – Tiêu chuẩn đánh giá </w:t>
            </w:r>
          </w:p>
          <w:p w14:paraId="663BDDC0" w14:textId="3C9DDBA4" w:rsidR="00EF6736" w:rsidRPr="00837919" w:rsidRDefault="00EF6736" w:rsidP="00EF6736">
            <w:pPr>
              <w:rPr>
                <w:bCs/>
              </w:rPr>
            </w:pPr>
            <w:r w:rsidRPr="00837919">
              <w:rPr>
                <w:bCs/>
              </w:rPr>
              <w:t xml:space="preserve">* Mục 2.1. Bảng số 1 </w:t>
            </w:r>
          </w:p>
          <w:p w14:paraId="2AFC558D" w14:textId="184B0484" w:rsidR="00EF6736" w:rsidRPr="00837919" w:rsidRDefault="00EF6736" w:rsidP="00EF6736">
            <w:pPr>
              <w:rPr>
                <w:bCs/>
              </w:rPr>
            </w:pPr>
            <w:r w:rsidRPr="00837919">
              <w:rPr>
                <w:bCs/>
              </w:rPr>
              <w:t xml:space="preserve">- Doanh thu bình quân hằng năm: </w:t>
            </w:r>
            <w:r w:rsidRPr="00837919">
              <w:rPr>
                <w:rFonts w:eastAsia="Calibri"/>
                <w:spacing w:val="-4"/>
                <w:lang w:val="nl-NL"/>
              </w:rPr>
              <w:t xml:space="preserve">222.481.464.000 </w:t>
            </w:r>
            <w:r w:rsidRPr="00837919">
              <w:rPr>
                <w:rFonts w:eastAsia="Calibri"/>
                <w:spacing w:val="-4"/>
                <w:vertAlign w:val="superscript"/>
                <w:lang w:val="nl-NL"/>
              </w:rPr>
              <w:t>(</w:t>
            </w:r>
            <w:r w:rsidRPr="00837919">
              <w:rPr>
                <w:rFonts w:eastAsia="Calibri"/>
                <w:vertAlign w:val="superscript"/>
                <w:lang w:val="nl-NL"/>
              </w:rPr>
              <w:t>6</w:t>
            </w:r>
            <w:r w:rsidRPr="00837919">
              <w:rPr>
                <w:rFonts w:eastAsia="Calibri"/>
                <w:spacing w:val="-4"/>
                <w:vertAlign w:val="superscript"/>
                <w:lang w:val="nl-NL"/>
              </w:rPr>
              <w:t>)</w:t>
            </w:r>
            <w:r w:rsidRPr="00837919">
              <w:rPr>
                <w:rFonts w:eastAsia="Calibri"/>
                <w:spacing w:val="-4"/>
                <w:lang w:val="nl-NL"/>
              </w:rPr>
              <w:t>VND;</w:t>
            </w:r>
          </w:p>
          <w:p w14:paraId="227969F5" w14:textId="77777777" w:rsidR="00EF6736" w:rsidRPr="00837919" w:rsidRDefault="00EF6736" w:rsidP="00EF6736">
            <w:pPr>
              <w:rPr>
                <w:bCs/>
              </w:rPr>
            </w:pPr>
            <w:r w:rsidRPr="00837919">
              <w:rPr>
                <w:bCs/>
              </w:rPr>
              <w:t xml:space="preserve">- Yêu cầu về nguồn lực tài chính cho gói thầu: </w:t>
            </w:r>
          </w:p>
          <w:p w14:paraId="5E7E9E25" w14:textId="77777777" w:rsidR="00EF6736" w:rsidRPr="00837919" w:rsidRDefault="00EF6736" w:rsidP="00EF6736">
            <w:r w:rsidRPr="00837919">
              <w:rPr>
                <w:bCs/>
              </w:rPr>
              <w:t xml:space="preserve">+ Giá trị: </w:t>
            </w:r>
            <w:r w:rsidRPr="00837919">
              <w:t xml:space="preserve">48.945.900.000 </w:t>
            </w:r>
            <w:r w:rsidRPr="00837919">
              <w:rPr>
                <w:vertAlign w:val="superscript"/>
              </w:rPr>
              <w:t>(8)</w:t>
            </w:r>
            <w:r w:rsidRPr="00837919">
              <w:t xml:space="preserve">VND; </w:t>
            </w:r>
          </w:p>
          <w:p w14:paraId="074CAE27" w14:textId="3BF68242" w:rsidR="00EF6736" w:rsidRPr="00837919" w:rsidRDefault="00EF6736" w:rsidP="00EF6736">
            <w:pPr>
              <w:rPr>
                <w:bCs/>
              </w:rPr>
            </w:pPr>
            <w:r w:rsidRPr="00837919">
              <w:t xml:space="preserve">+ Thời gian có hiệu lực của cam kết cung cấp tín dụng: có hiệu lực trong 135 ngày </w:t>
            </w:r>
            <w:r w:rsidRPr="00837919">
              <w:rPr>
                <w:i/>
                <w:lang w:val="es-ES"/>
              </w:rPr>
              <w:t>[</w:t>
            </w:r>
            <w:r w:rsidRPr="00837919">
              <w:rPr>
                <w:i/>
              </w:rPr>
              <w:t>ghi thời gian thực hiện gói thầu</w:t>
            </w:r>
            <w:r w:rsidRPr="00837919">
              <w:rPr>
                <w:i/>
                <w:lang w:val="es-ES"/>
              </w:rPr>
              <w:t>]</w:t>
            </w:r>
            <w:r w:rsidRPr="00837919">
              <w:rPr>
                <w:lang w:val="es-ES"/>
              </w:rPr>
              <w:t xml:space="preserve"> </w:t>
            </w:r>
            <w:r w:rsidRPr="00837919">
              <w:t>kể từ ngày hợp đồng có hiệu lực hoặc có hiệu lực đến ngày 31 tháng 12 năm 2025;</w:t>
            </w:r>
          </w:p>
          <w:p w14:paraId="0E5B0E1D" w14:textId="673A5376" w:rsidR="00EF6736" w:rsidRPr="00837919" w:rsidRDefault="00EF6736" w:rsidP="00EF6736">
            <w:pPr>
              <w:rPr>
                <w:bCs/>
              </w:rPr>
            </w:pPr>
            <w:r w:rsidRPr="00837919">
              <w:rPr>
                <w:bCs/>
              </w:rPr>
              <w:t xml:space="preserve">- Kinh nghiệm thực hiện hợp đồng xây lắp tương tự: </w:t>
            </w:r>
            <w:r w:rsidRPr="00837919">
              <w:rPr>
                <w:rFonts w:eastAsia="Times New Roman"/>
                <w:iCs w:val="0"/>
                <w:spacing w:val="0"/>
                <w:lang w:val="es-ES"/>
              </w:rPr>
              <w:t>hợp đồng tương tự có giá trị là V</w:t>
            </w:r>
            <w:r w:rsidRPr="00837919">
              <w:rPr>
                <w:rFonts w:eastAsia="Times New Roman"/>
                <w:iCs w:val="0"/>
                <w:spacing w:val="0"/>
                <w:vertAlign w:val="superscript"/>
                <w:lang w:val="es-ES"/>
              </w:rPr>
              <w:t>(13)</w:t>
            </w:r>
            <w:r w:rsidRPr="00837919">
              <w:rPr>
                <w:rFonts w:eastAsia="Times New Roman"/>
                <w:iCs w:val="0"/>
                <w:spacing w:val="0"/>
                <w:lang w:val="es-ES"/>
              </w:rPr>
              <w:t>: 81.577.000.000 VNĐ</w:t>
            </w:r>
            <w:r w:rsidR="000B41A6" w:rsidRPr="00837919">
              <w:rPr>
                <w:rFonts w:eastAsia="Times New Roman"/>
                <w:iCs w:val="0"/>
                <w:spacing w:val="0"/>
                <w:lang w:val="es-ES"/>
              </w:rPr>
              <w:t>;</w:t>
            </w:r>
          </w:p>
          <w:p w14:paraId="20E8EC2D" w14:textId="081DD627" w:rsidR="00EF6736" w:rsidRPr="00837919" w:rsidRDefault="00EF6736" w:rsidP="00EF6736">
            <w:pPr>
              <w:rPr>
                <w:bCs/>
                <w:lang w:val="pl-PL"/>
              </w:rPr>
            </w:pPr>
            <w:r w:rsidRPr="00837919">
              <w:rPr>
                <w:bCs/>
              </w:rPr>
              <w:t xml:space="preserve">* Mục 2.2. Bảng số 3 - </w:t>
            </w:r>
            <w:r w:rsidRPr="00837919">
              <w:rPr>
                <w:bCs/>
                <w:lang w:val="pl-PL"/>
              </w:rPr>
              <w:t>Yêu cầu về thiết bị thi công chủ yếu:</w:t>
            </w:r>
          </w:p>
          <w:p w14:paraId="0DE09730" w14:textId="77777777" w:rsidR="00EF6736" w:rsidRPr="00837919" w:rsidRDefault="00EF6736" w:rsidP="00EF6736">
            <w:pPr>
              <w:rPr>
                <w:bCs/>
              </w:rPr>
            </w:pPr>
            <w:r w:rsidRPr="00837919">
              <w:rPr>
                <w:bCs/>
                <w:noProof/>
              </w:rPr>
              <w:lastRenderedPageBreak/>
              <w:drawing>
                <wp:inline distT="0" distB="0" distL="0" distR="0" wp14:anchorId="6AF0A9CB" wp14:editId="5A5DDF45">
                  <wp:extent cx="3984408" cy="5142015"/>
                  <wp:effectExtent l="0" t="0" r="0" b="0"/>
                  <wp:docPr id="1012360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4408" cy="5142015"/>
                          </a:xfrm>
                          <a:prstGeom prst="rect">
                            <a:avLst/>
                          </a:prstGeom>
                          <a:noFill/>
                        </pic:spPr>
                      </pic:pic>
                    </a:graphicData>
                  </a:graphic>
                </wp:inline>
              </w:drawing>
            </w:r>
          </w:p>
          <w:p w14:paraId="3F377447" w14:textId="77777777" w:rsidR="00AE0F0B" w:rsidRPr="00837919" w:rsidRDefault="00AE0F0B" w:rsidP="00EF6736">
            <w:pPr>
              <w:rPr>
                <w:bCs/>
              </w:rPr>
            </w:pPr>
          </w:p>
          <w:p w14:paraId="089CC317" w14:textId="3BE401CE" w:rsidR="00AE0F0B" w:rsidRPr="00837919" w:rsidRDefault="00AE0F0B" w:rsidP="00EF6736">
            <w:pPr>
              <w:rPr>
                <w:bCs/>
              </w:rPr>
            </w:pPr>
          </w:p>
        </w:tc>
        <w:tc>
          <w:tcPr>
            <w:tcW w:w="7460" w:type="dxa"/>
          </w:tcPr>
          <w:p w14:paraId="692152BD" w14:textId="77777777" w:rsidR="00EF6736" w:rsidRPr="00837919" w:rsidRDefault="00EF6736" w:rsidP="00EF6736">
            <w:pPr>
              <w:rPr>
                <w:bCs/>
              </w:rPr>
            </w:pPr>
            <w:r w:rsidRPr="00837919">
              <w:rPr>
                <w:bCs/>
              </w:rPr>
              <w:lastRenderedPageBreak/>
              <w:t xml:space="preserve">Chương III – Tiêu chuẩn đánh giá </w:t>
            </w:r>
          </w:p>
          <w:p w14:paraId="3E700DBA" w14:textId="77777777" w:rsidR="00EF6736" w:rsidRPr="00837919" w:rsidRDefault="00EF6736" w:rsidP="00EF6736">
            <w:pPr>
              <w:rPr>
                <w:bCs/>
              </w:rPr>
            </w:pPr>
            <w:r w:rsidRPr="00837919">
              <w:rPr>
                <w:bCs/>
              </w:rPr>
              <w:t xml:space="preserve">* Mục 2.1. Bảng số 1 </w:t>
            </w:r>
          </w:p>
          <w:p w14:paraId="6BCB7614" w14:textId="68E1934C" w:rsidR="00EF6736" w:rsidRPr="00837919" w:rsidRDefault="00EF6736" w:rsidP="00EF6736">
            <w:pPr>
              <w:rPr>
                <w:bCs/>
              </w:rPr>
            </w:pPr>
            <w:r w:rsidRPr="00837919">
              <w:rPr>
                <w:bCs/>
              </w:rPr>
              <w:t>- Doanh thu bình quân hằng năm</w:t>
            </w:r>
            <w:r w:rsidR="000B41A6" w:rsidRPr="00837919">
              <w:rPr>
                <w:bCs/>
              </w:rPr>
              <w:t xml:space="preserve">: </w:t>
            </w:r>
            <w:r w:rsidR="000B41A6" w:rsidRPr="00837919">
              <w:rPr>
                <w:rFonts w:eastAsia="Calibri"/>
                <w:spacing w:val="-4"/>
                <w:lang w:val="nl-NL"/>
              </w:rPr>
              <w:t xml:space="preserve">223.507.651.000 </w:t>
            </w:r>
            <w:r w:rsidR="000B41A6" w:rsidRPr="00837919">
              <w:rPr>
                <w:rFonts w:eastAsia="Calibri"/>
                <w:spacing w:val="-4"/>
                <w:vertAlign w:val="superscript"/>
                <w:lang w:val="nl-NL"/>
              </w:rPr>
              <w:t>(</w:t>
            </w:r>
            <w:r w:rsidR="000B41A6" w:rsidRPr="00837919">
              <w:rPr>
                <w:rFonts w:eastAsia="Calibri"/>
                <w:vertAlign w:val="superscript"/>
                <w:lang w:val="nl-NL"/>
              </w:rPr>
              <w:t>6</w:t>
            </w:r>
            <w:r w:rsidR="000B41A6" w:rsidRPr="00837919">
              <w:rPr>
                <w:rFonts w:eastAsia="Calibri"/>
                <w:spacing w:val="-4"/>
                <w:vertAlign w:val="superscript"/>
                <w:lang w:val="nl-NL"/>
              </w:rPr>
              <w:t>)</w:t>
            </w:r>
            <w:r w:rsidR="000B41A6" w:rsidRPr="00837919">
              <w:rPr>
                <w:rFonts w:eastAsia="Calibri"/>
                <w:spacing w:val="-4"/>
                <w:lang w:val="nl-NL"/>
              </w:rPr>
              <w:t>VND;</w:t>
            </w:r>
          </w:p>
          <w:p w14:paraId="777DD17A" w14:textId="30DCBF80" w:rsidR="00EF6736" w:rsidRPr="00837919" w:rsidRDefault="00EF6736" w:rsidP="00EF6736">
            <w:pPr>
              <w:rPr>
                <w:bCs/>
              </w:rPr>
            </w:pPr>
            <w:r w:rsidRPr="00837919">
              <w:rPr>
                <w:bCs/>
              </w:rPr>
              <w:t>- Yêu cầu về nguồn lực tài chính cho gói thầu</w:t>
            </w:r>
            <w:r w:rsidR="000B41A6" w:rsidRPr="00837919">
              <w:rPr>
                <w:bCs/>
              </w:rPr>
              <w:t>:</w:t>
            </w:r>
          </w:p>
          <w:p w14:paraId="5AFE7F3C" w14:textId="43B3DC81" w:rsidR="000B41A6" w:rsidRPr="00837919" w:rsidRDefault="000B41A6" w:rsidP="000B41A6">
            <w:r w:rsidRPr="00837919">
              <w:rPr>
                <w:bCs/>
              </w:rPr>
              <w:t xml:space="preserve">+ Giá trị: </w:t>
            </w:r>
            <w:r w:rsidRPr="00837919">
              <w:rPr>
                <w:rFonts w:eastAsia="Times New Roman"/>
                <w:iCs w:val="0"/>
                <w:spacing w:val="0"/>
              </w:rPr>
              <w:t xml:space="preserve">49.171.800.000 </w:t>
            </w:r>
            <w:r w:rsidRPr="00837919">
              <w:rPr>
                <w:rFonts w:eastAsia="Times New Roman"/>
                <w:iCs w:val="0"/>
                <w:spacing w:val="0"/>
                <w:vertAlign w:val="superscript"/>
              </w:rPr>
              <w:t>(8)</w:t>
            </w:r>
            <w:r w:rsidRPr="00837919">
              <w:rPr>
                <w:rFonts w:eastAsia="Times New Roman"/>
                <w:iCs w:val="0"/>
                <w:spacing w:val="0"/>
              </w:rPr>
              <w:t>VND</w:t>
            </w:r>
            <w:r w:rsidRPr="00837919">
              <w:t xml:space="preserve">; </w:t>
            </w:r>
          </w:p>
          <w:p w14:paraId="0A92E4B3" w14:textId="611D0973" w:rsidR="000B41A6" w:rsidRPr="00837919" w:rsidRDefault="000B41A6" w:rsidP="000B41A6">
            <w:pPr>
              <w:rPr>
                <w:bCs/>
              </w:rPr>
            </w:pPr>
            <w:r w:rsidRPr="00837919">
              <w:t xml:space="preserve">+ Thời gian có hiệu lực của cam kết cung cấp tín dụng: có hiệu lực trong 135 ngày </w:t>
            </w:r>
            <w:r w:rsidRPr="00837919">
              <w:rPr>
                <w:i/>
                <w:lang w:val="es-ES"/>
              </w:rPr>
              <w:t>[</w:t>
            </w:r>
            <w:r w:rsidRPr="00837919">
              <w:rPr>
                <w:i/>
              </w:rPr>
              <w:t>ghi thời gian thực hiện gói thầu</w:t>
            </w:r>
            <w:r w:rsidRPr="00837919">
              <w:rPr>
                <w:i/>
                <w:lang w:val="es-ES"/>
              </w:rPr>
              <w:t>]</w:t>
            </w:r>
            <w:r w:rsidRPr="00837919">
              <w:rPr>
                <w:lang w:val="es-ES"/>
              </w:rPr>
              <w:t xml:space="preserve"> </w:t>
            </w:r>
            <w:r w:rsidRPr="00837919">
              <w:t>kể từ ngày hợp đồng có hiệu lực hoặc có hiệu lực đến ngày 31 tháng 01 năm 2026;</w:t>
            </w:r>
          </w:p>
          <w:p w14:paraId="30DA2B09" w14:textId="100D3F19" w:rsidR="00EF6736" w:rsidRPr="00837919" w:rsidRDefault="00EF6736" w:rsidP="00EF6736">
            <w:pPr>
              <w:rPr>
                <w:bCs/>
              </w:rPr>
            </w:pPr>
            <w:r w:rsidRPr="00837919">
              <w:rPr>
                <w:bCs/>
              </w:rPr>
              <w:t>- Kinh nghiệm thực hiện hợp đồng xây lắp tương tự</w:t>
            </w:r>
            <w:r w:rsidR="000B41A6" w:rsidRPr="00837919">
              <w:rPr>
                <w:bCs/>
              </w:rPr>
              <w:t xml:space="preserve">: </w:t>
            </w:r>
            <w:r w:rsidR="000B41A6" w:rsidRPr="00837919">
              <w:rPr>
                <w:rFonts w:eastAsia="Times New Roman"/>
                <w:iCs w:val="0"/>
                <w:spacing w:val="0"/>
                <w:lang w:val="es-ES"/>
              </w:rPr>
              <w:t>hợp đồng tương tự có giá trị là V</w:t>
            </w:r>
            <w:r w:rsidR="000B41A6" w:rsidRPr="00837919">
              <w:rPr>
                <w:rFonts w:eastAsia="Times New Roman"/>
                <w:iCs w:val="0"/>
                <w:spacing w:val="0"/>
                <w:vertAlign w:val="superscript"/>
                <w:lang w:val="es-ES"/>
              </w:rPr>
              <w:t>(13)</w:t>
            </w:r>
            <w:r w:rsidR="000B41A6" w:rsidRPr="00837919">
              <w:rPr>
                <w:rFonts w:eastAsia="Times New Roman"/>
                <w:iCs w:val="0"/>
                <w:spacing w:val="0"/>
                <w:lang w:val="es-ES"/>
              </w:rPr>
              <w:t>: 81.953.000.000 VNĐ;</w:t>
            </w:r>
          </w:p>
          <w:p w14:paraId="4C092409" w14:textId="2A988210" w:rsidR="00AE0F0B" w:rsidRPr="00837919" w:rsidRDefault="00AE0F0B" w:rsidP="00AE0F0B">
            <w:pPr>
              <w:rPr>
                <w:bCs/>
                <w:lang w:val="pl-PL"/>
              </w:rPr>
            </w:pPr>
            <w:r w:rsidRPr="00837919">
              <w:rPr>
                <w:bCs/>
              </w:rPr>
              <w:t>*</w:t>
            </w:r>
            <w:r w:rsidR="00EF6736" w:rsidRPr="00837919">
              <w:rPr>
                <w:bCs/>
              </w:rPr>
              <w:t xml:space="preserve"> Mục 2.2. Bảng số 3 - </w:t>
            </w:r>
            <w:r w:rsidR="00EF6736" w:rsidRPr="00837919">
              <w:rPr>
                <w:bCs/>
                <w:lang w:val="pl-PL"/>
              </w:rPr>
              <w:t>Yêu cầu về thiết bị thi công chủ yếu</w:t>
            </w:r>
            <w:r w:rsidRPr="00837919">
              <w:rPr>
                <w:bCs/>
                <w:lang w:val="pl-PL"/>
              </w:rPr>
              <w:t>:</w:t>
            </w:r>
          </w:p>
          <w:p w14:paraId="00F50FB8" w14:textId="15B83906" w:rsidR="00AE0F0B" w:rsidRPr="00837919" w:rsidRDefault="00AE0F0B" w:rsidP="00AE0F0B">
            <w:r w:rsidRPr="00837919">
              <w:rPr>
                <w:noProof/>
              </w:rPr>
              <w:lastRenderedPageBreak/>
              <w:drawing>
                <wp:inline distT="0" distB="0" distL="0" distR="0" wp14:anchorId="57706728" wp14:editId="0E324A6B">
                  <wp:extent cx="3880230" cy="6012000"/>
                  <wp:effectExtent l="0" t="0" r="0" b="8255"/>
                  <wp:docPr id="6481866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80230" cy="6012000"/>
                          </a:xfrm>
                          <a:prstGeom prst="rect">
                            <a:avLst/>
                          </a:prstGeom>
                          <a:noFill/>
                          <a:ln>
                            <a:noFill/>
                          </a:ln>
                        </pic:spPr>
                      </pic:pic>
                    </a:graphicData>
                  </a:graphic>
                </wp:inline>
              </w:drawing>
            </w:r>
          </w:p>
        </w:tc>
      </w:tr>
      <w:tr w:rsidR="00AE0F0B" w:rsidRPr="00837919" w14:paraId="1DC0C07B" w14:textId="77777777" w:rsidTr="00AE0F0B">
        <w:tc>
          <w:tcPr>
            <w:tcW w:w="704" w:type="dxa"/>
          </w:tcPr>
          <w:p w14:paraId="5998C3E4" w14:textId="77777777" w:rsidR="00AE0F0B" w:rsidRPr="00837919" w:rsidRDefault="00AE0F0B" w:rsidP="00EF6736"/>
        </w:tc>
        <w:tc>
          <w:tcPr>
            <w:tcW w:w="7140" w:type="dxa"/>
          </w:tcPr>
          <w:p w14:paraId="549FDC1E" w14:textId="77777777" w:rsidR="00AE0F0B" w:rsidRPr="00837919" w:rsidRDefault="00AE0F0B" w:rsidP="00EF6736">
            <w:pPr>
              <w:rPr>
                <w:rFonts w:eastAsia="Times New Roman"/>
                <w:bCs/>
                <w:iCs w:val="0"/>
                <w:spacing w:val="0"/>
                <w:lang w:val="nl-NL"/>
              </w:rPr>
            </w:pPr>
          </w:p>
        </w:tc>
        <w:tc>
          <w:tcPr>
            <w:tcW w:w="7460" w:type="dxa"/>
          </w:tcPr>
          <w:p w14:paraId="13CC4005" w14:textId="3CE3BCD3" w:rsidR="00AE0F0B" w:rsidRPr="00837919" w:rsidRDefault="000B41A6" w:rsidP="00EF6736">
            <w:r w:rsidRPr="00837919">
              <w:rPr>
                <w:noProof/>
              </w:rPr>
              <w:drawing>
                <wp:inline distT="0" distB="0" distL="0" distR="0" wp14:anchorId="61AC0948" wp14:editId="6C08D9CD">
                  <wp:extent cx="4532400" cy="2674800"/>
                  <wp:effectExtent l="0" t="0" r="0" b="0"/>
                  <wp:docPr id="3809704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32400" cy="2674800"/>
                          </a:xfrm>
                          <a:prstGeom prst="rect">
                            <a:avLst/>
                          </a:prstGeom>
                          <a:noFill/>
                        </pic:spPr>
                      </pic:pic>
                    </a:graphicData>
                  </a:graphic>
                </wp:inline>
              </w:drawing>
            </w:r>
          </w:p>
        </w:tc>
      </w:tr>
      <w:tr w:rsidR="000B41A6" w:rsidRPr="00837919" w14:paraId="0D45BB4C" w14:textId="77777777" w:rsidTr="00AE0F0B">
        <w:tc>
          <w:tcPr>
            <w:tcW w:w="704" w:type="dxa"/>
          </w:tcPr>
          <w:p w14:paraId="3AC99832" w14:textId="77777777" w:rsidR="000B41A6" w:rsidRPr="00837919" w:rsidRDefault="000B41A6" w:rsidP="000B41A6"/>
        </w:tc>
        <w:tc>
          <w:tcPr>
            <w:tcW w:w="7140" w:type="dxa"/>
          </w:tcPr>
          <w:p w14:paraId="0448704E" w14:textId="77777777" w:rsidR="000B41A6" w:rsidRPr="00837919" w:rsidRDefault="000B41A6" w:rsidP="000B41A6">
            <w:pPr>
              <w:rPr>
                <w:rFonts w:eastAsia="Times New Roman"/>
                <w:bCs/>
                <w:iCs w:val="0"/>
                <w:spacing w:val="0"/>
                <w:lang w:val="nl-NL"/>
              </w:rPr>
            </w:pPr>
            <w:r w:rsidRPr="00837919">
              <w:rPr>
                <w:rFonts w:eastAsia="Times New Roman"/>
                <w:bCs/>
                <w:iCs w:val="0"/>
                <w:spacing w:val="0"/>
                <w:lang w:val="nl-NL"/>
              </w:rPr>
              <w:t xml:space="preserve">2.3. Nhà thầu phụ đặc biệt: </w:t>
            </w:r>
          </w:p>
          <w:p w14:paraId="7448010E" w14:textId="77777777" w:rsidR="000B41A6" w:rsidRPr="00837919" w:rsidRDefault="000B41A6" w:rsidP="000B41A6">
            <w:pPr>
              <w:rPr>
                <w:rFonts w:eastAsia="Times New Roman"/>
                <w:bCs/>
                <w:iCs w:val="0"/>
                <w:spacing w:val="0"/>
                <w:lang w:val="nl-NL"/>
              </w:rPr>
            </w:pPr>
            <w:r w:rsidRPr="00837919">
              <w:rPr>
                <w:rFonts w:eastAsia="Times New Roman"/>
                <w:bCs/>
                <w:iCs w:val="0"/>
                <w:spacing w:val="0"/>
                <w:lang w:val="nl-NL"/>
              </w:rPr>
              <w:t>a. Nhà thầu phụ đặc biệt thực hiện phần công việc cung cấp thiết bị, vật tư và lắp đặt hệ thống phòng cháy chữa cháy:</w:t>
            </w:r>
          </w:p>
          <w:p w14:paraId="62E0807E" w14:textId="24D3BA1D" w:rsidR="000B41A6" w:rsidRPr="00837919" w:rsidRDefault="000B41A6" w:rsidP="000B41A6">
            <w:pPr>
              <w:widowControl w:val="0"/>
              <w:numPr>
                <w:ilvl w:val="0"/>
                <w:numId w:val="1"/>
              </w:numPr>
              <w:tabs>
                <w:tab w:val="clear" w:pos="720"/>
                <w:tab w:val="left" w:pos="342"/>
              </w:tabs>
              <w:spacing w:before="120" w:after="0" w:line="360" w:lineRule="exact"/>
              <w:ind w:left="0" w:firstLine="0"/>
              <w:rPr>
                <w:rFonts w:eastAsia="Times New Roman"/>
                <w:bCs/>
                <w:iCs w:val="0"/>
                <w:spacing w:val="0"/>
                <w:lang w:val="nl-NL"/>
              </w:rPr>
            </w:pPr>
            <w:r w:rsidRPr="00EF6736">
              <w:rPr>
                <w:rFonts w:eastAsia="Times New Roman"/>
                <w:bCs/>
                <w:iCs w:val="0"/>
                <w:spacing w:val="0"/>
                <w:lang w:val="nl-NL"/>
              </w:rPr>
              <w:t xml:space="preserve">Nhà thầu phụ đã hoàn thành thi công lắp đặt hệ thống phòng cháy chữa cháy cho ít nhất một trạm biến áp có cấp điện áp 220 kV trở lên có giá trị hợp đồng tối thiểu là 1.220.000.000 VND với tư cách nhà thầu chính hoặc nhà thầu phụ (hợp đồng phải có và tính chất công việc tương tự như yêu cầu của gói thầu này, kèm theo xác nhận hoàn thành). </w:t>
            </w:r>
          </w:p>
        </w:tc>
        <w:tc>
          <w:tcPr>
            <w:tcW w:w="7460" w:type="dxa"/>
          </w:tcPr>
          <w:p w14:paraId="2F3F652D" w14:textId="77777777" w:rsidR="000B41A6" w:rsidRPr="00837919" w:rsidRDefault="000B41A6" w:rsidP="000B41A6">
            <w:pPr>
              <w:rPr>
                <w:rFonts w:eastAsia="Times New Roman"/>
                <w:bCs/>
                <w:iCs w:val="0"/>
                <w:spacing w:val="0"/>
                <w:lang w:val="nl-NL"/>
              </w:rPr>
            </w:pPr>
            <w:r w:rsidRPr="00837919">
              <w:rPr>
                <w:rFonts w:eastAsia="Times New Roman"/>
                <w:bCs/>
                <w:iCs w:val="0"/>
                <w:spacing w:val="0"/>
                <w:lang w:val="nl-NL"/>
              </w:rPr>
              <w:t xml:space="preserve">2.3. Nhà thầu phụ đặc biệt: </w:t>
            </w:r>
          </w:p>
          <w:p w14:paraId="2E193E66" w14:textId="77777777" w:rsidR="000B41A6" w:rsidRPr="00837919" w:rsidRDefault="000B41A6" w:rsidP="000B41A6">
            <w:pPr>
              <w:rPr>
                <w:rFonts w:eastAsia="Times New Roman"/>
                <w:bCs/>
                <w:iCs w:val="0"/>
                <w:spacing w:val="0"/>
                <w:lang w:val="nl-NL"/>
              </w:rPr>
            </w:pPr>
            <w:r w:rsidRPr="00837919">
              <w:rPr>
                <w:rFonts w:eastAsia="Times New Roman"/>
                <w:bCs/>
                <w:iCs w:val="0"/>
                <w:spacing w:val="0"/>
                <w:lang w:val="nl-NL"/>
              </w:rPr>
              <w:t>a. Nhà thầu phụ đặc biệt thực hiện phần công việc cung cấp thiết bị, vật tư và lắp đặt hệ thống phòng cháy chữa cháy:</w:t>
            </w:r>
          </w:p>
          <w:p w14:paraId="59AE42CE" w14:textId="43B33F8B" w:rsidR="000B41A6" w:rsidRPr="00837919" w:rsidRDefault="000B41A6" w:rsidP="000B41A6">
            <w:r w:rsidRPr="00EF6736">
              <w:rPr>
                <w:rFonts w:eastAsia="Times New Roman"/>
                <w:iCs w:val="0"/>
                <w:spacing w:val="0"/>
                <w:lang w:val="nl-NL"/>
              </w:rPr>
              <w:t xml:space="preserve">Nhà thầu phụ đã hoàn thành thi công </w:t>
            </w:r>
            <w:r w:rsidRPr="00EF6736">
              <w:rPr>
                <w:rFonts w:eastAsia="Times New Roman"/>
                <w:iCs w:val="0"/>
                <w:spacing w:val="-4"/>
                <w:lang w:val="nl-NL"/>
              </w:rPr>
              <w:t xml:space="preserve">lắp đặt hệ thống phòng cháy chữa cháy cho ít nhất một trạm biến áp có cấp điện áp 220 kV trở lên có giá trị hợp đồng tối thiểu là </w:t>
            </w:r>
            <w:r w:rsidRPr="00837919">
              <w:rPr>
                <w:rFonts w:eastAsia="Times New Roman"/>
                <w:iCs w:val="0"/>
                <w:spacing w:val="-4"/>
                <w:lang w:val="nl-NL"/>
              </w:rPr>
              <w:t xml:space="preserve">1.241.000.000 </w:t>
            </w:r>
            <w:r w:rsidRPr="00EF6736">
              <w:rPr>
                <w:rFonts w:eastAsia="Times New Roman"/>
                <w:iCs w:val="0"/>
                <w:spacing w:val="-4"/>
                <w:lang w:val="nl-NL"/>
              </w:rPr>
              <w:t xml:space="preserve">VND với tư cách nhà thầu chính hoặc nhà thầu phụ </w:t>
            </w:r>
            <w:r w:rsidRPr="00EF6736">
              <w:rPr>
                <w:rFonts w:eastAsia="Times New Roman"/>
                <w:i/>
                <w:iCs w:val="0"/>
                <w:spacing w:val="-4"/>
                <w:lang w:val="nl-NL"/>
              </w:rPr>
              <w:t xml:space="preserve">(hợp đồng phải có và tính chất công việc tương tự như yêu cầu của gói thầu này, kèm theo xác nhận hoàn thành). </w:t>
            </w:r>
          </w:p>
        </w:tc>
      </w:tr>
      <w:tr w:rsidR="000B41A6" w:rsidRPr="00837919" w14:paraId="4D980C48" w14:textId="77777777" w:rsidTr="00AE0F0B">
        <w:tc>
          <w:tcPr>
            <w:tcW w:w="704" w:type="dxa"/>
          </w:tcPr>
          <w:p w14:paraId="6A301327" w14:textId="77777777" w:rsidR="000B41A6" w:rsidRPr="00837919" w:rsidRDefault="000B41A6" w:rsidP="000B41A6"/>
        </w:tc>
        <w:tc>
          <w:tcPr>
            <w:tcW w:w="7140" w:type="dxa"/>
          </w:tcPr>
          <w:p w14:paraId="18FBCB7F" w14:textId="77777777" w:rsidR="000B41A6" w:rsidRPr="00837919" w:rsidRDefault="000B41A6" w:rsidP="000B41A6">
            <w:pPr>
              <w:widowControl w:val="0"/>
              <w:spacing w:before="120" w:after="20" w:line="240" w:lineRule="auto"/>
              <w:rPr>
                <w:rFonts w:eastAsia="Times New Roman"/>
                <w:spacing w:val="0"/>
                <w:lang w:val="nl-NL"/>
              </w:rPr>
            </w:pPr>
            <w:r w:rsidRPr="00EF6736">
              <w:rPr>
                <w:rFonts w:eastAsia="Times New Roman"/>
                <w:spacing w:val="0"/>
                <w:lang w:val="nl-NL"/>
              </w:rPr>
              <w:t>b. Nhà thầu phụ đặc biệt thực hiện phần công việc L</w:t>
            </w:r>
            <w:r w:rsidRPr="00EF6736">
              <w:rPr>
                <w:rFonts w:eastAsia="Times New Roman"/>
                <w:spacing w:val="-4"/>
                <w:lang w:val="nl-NL"/>
              </w:rPr>
              <w:t>ắp đặt và TNHC hệ thống thông tin</w:t>
            </w:r>
            <w:r w:rsidRPr="00EF6736">
              <w:rPr>
                <w:rFonts w:eastAsia="Times New Roman"/>
                <w:spacing w:val="0"/>
                <w:lang w:val="nl-NL"/>
              </w:rPr>
              <w:t>:</w:t>
            </w:r>
          </w:p>
          <w:p w14:paraId="515BAE5C" w14:textId="070F7A51" w:rsidR="000B41A6" w:rsidRPr="00837919" w:rsidRDefault="000B41A6" w:rsidP="000B41A6">
            <w:pPr>
              <w:widowControl w:val="0"/>
              <w:numPr>
                <w:ilvl w:val="0"/>
                <w:numId w:val="1"/>
              </w:numPr>
              <w:tabs>
                <w:tab w:val="clear" w:pos="720"/>
                <w:tab w:val="left" w:pos="342"/>
              </w:tabs>
              <w:spacing w:before="120" w:after="20" w:line="240" w:lineRule="auto"/>
              <w:ind w:left="0" w:firstLine="0"/>
              <w:rPr>
                <w:rFonts w:eastAsia="Times New Roman"/>
                <w:spacing w:val="0"/>
                <w:lang w:val="nl-NL"/>
              </w:rPr>
            </w:pPr>
            <w:r w:rsidRPr="00EF6736">
              <w:rPr>
                <w:rFonts w:eastAsia="Times New Roman"/>
                <w:iCs w:val="0"/>
                <w:spacing w:val="0"/>
                <w:lang w:val="nl-NL"/>
              </w:rPr>
              <w:lastRenderedPageBreak/>
              <w:t xml:space="preserve">Đã hoàn thành thi công </w:t>
            </w:r>
            <w:r w:rsidRPr="00EF6736">
              <w:rPr>
                <w:rFonts w:eastAsia="Times New Roman"/>
                <w:iCs w:val="0"/>
                <w:spacing w:val="-4"/>
                <w:lang w:val="nl-NL"/>
              </w:rPr>
              <w:t xml:space="preserve">lắp đặt và TNHC hệ thống thông tin cho ít nhất một trạm biến áp có cấp điện áp 220 kV trở lên, có giá trị hợp đồng tối thiểu là 1.224.000.000 VND với tư cách nhà thầu chính hoặc nhà thầu phụ </w:t>
            </w:r>
            <w:r w:rsidRPr="00EF6736">
              <w:rPr>
                <w:rFonts w:eastAsia="Times New Roman"/>
                <w:i/>
                <w:iCs w:val="0"/>
                <w:spacing w:val="-4"/>
                <w:lang w:val="nl-NL"/>
              </w:rPr>
              <w:t xml:space="preserve">(hợp đồng phải có và tính chất công việc tương tự như yêu cầu của gói thầu này, kèm theo xác nhận hoàn thành). </w:t>
            </w:r>
          </w:p>
        </w:tc>
        <w:tc>
          <w:tcPr>
            <w:tcW w:w="7460" w:type="dxa"/>
          </w:tcPr>
          <w:p w14:paraId="29843522" w14:textId="77777777" w:rsidR="000B41A6" w:rsidRPr="00837919" w:rsidRDefault="000B41A6" w:rsidP="000B41A6">
            <w:pPr>
              <w:widowControl w:val="0"/>
              <w:spacing w:before="120" w:after="20" w:line="240" w:lineRule="auto"/>
              <w:rPr>
                <w:rFonts w:eastAsia="Times New Roman"/>
                <w:spacing w:val="0"/>
                <w:lang w:val="nl-NL"/>
              </w:rPr>
            </w:pPr>
            <w:r w:rsidRPr="00EF6736">
              <w:rPr>
                <w:rFonts w:eastAsia="Times New Roman"/>
                <w:spacing w:val="0"/>
                <w:lang w:val="nl-NL"/>
              </w:rPr>
              <w:lastRenderedPageBreak/>
              <w:t>b. Nhà thầu phụ đặc biệt thực hiện phần công việc L</w:t>
            </w:r>
            <w:r w:rsidRPr="00EF6736">
              <w:rPr>
                <w:rFonts w:eastAsia="Times New Roman"/>
                <w:spacing w:val="-4"/>
                <w:lang w:val="nl-NL"/>
              </w:rPr>
              <w:t>ắp đặt và TNHC hệ thống thông tin</w:t>
            </w:r>
            <w:r w:rsidRPr="00EF6736">
              <w:rPr>
                <w:rFonts w:eastAsia="Times New Roman"/>
                <w:spacing w:val="0"/>
                <w:lang w:val="nl-NL"/>
              </w:rPr>
              <w:t>:</w:t>
            </w:r>
          </w:p>
          <w:p w14:paraId="453CEE8A" w14:textId="2985F43F" w:rsidR="000B41A6" w:rsidRPr="00837919" w:rsidRDefault="000B41A6" w:rsidP="000B41A6">
            <w:r w:rsidRPr="00EF6736">
              <w:rPr>
                <w:rFonts w:eastAsia="Times New Roman"/>
                <w:iCs w:val="0"/>
                <w:spacing w:val="0"/>
                <w:lang w:val="nl-NL"/>
              </w:rPr>
              <w:lastRenderedPageBreak/>
              <w:t xml:space="preserve">Đã hoàn thành thi công </w:t>
            </w:r>
            <w:r w:rsidRPr="00EF6736">
              <w:rPr>
                <w:rFonts w:eastAsia="Times New Roman"/>
                <w:iCs w:val="0"/>
                <w:spacing w:val="-4"/>
                <w:lang w:val="nl-NL"/>
              </w:rPr>
              <w:t xml:space="preserve">lắp đặt và TNHC hệ thống thông tin cho ít nhất một trạm biến áp có cấp điện áp 220 kV trở lên, có giá trị hợp đồng tối thiểu là </w:t>
            </w:r>
            <w:r w:rsidRPr="00837919">
              <w:rPr>
                <w:rFonts w:eastAsia="Times New Roman"/>
                <w:iCs w:val="0"/>
                <w:spacing w:val="-4"/>
                <w:lang w:val="nl-NL"/>
              </w:rPr>
              <w:t xml:space="preserve">543.000.000 </w:t>
            </w:r>
            <w:r w:rsidRPr="00EF6736">
              <w:rPr>
                <w:rFonts w:eastAsia="Times New Roman"/>
                <w:iCs w:val="0"/>
                <w:spacing w:val="-4"/>
                <w:lang w:val="nl-NL"/>
              </w:rPr>
              <w:t xml:space="preserve">VND với tư cách nhà thầu chính hoặc nhà thầu phụ </w:t>
            </w:r>
            <w:r w:rsidRPr="00EF6736">
              <w:rPr>
                <w:rFonts w:eastAsia="Times New Roman"/>
                <w:i/>
                <w:iCs w:val="0"/>
                <w:spacing w:val="-4"/>
                <w:lang w:val="nl-NL"/>
              </w:rPr>
              <w:t xml:space="preserve">(hợp đồng phải có và tính chất công việc tương tự như yêu cầu của gói thầu này, kèm theo xác nhận hoàn thành). </w:t>
            </w:r>
          </w:p>
        </w:tc>
      </w:tr>
      <w:tr w:rsidR="000B41A6" w:rsidRPr="00837919" w14:paraId="64D3B051" w14:textId="77777777" w:rsidTr="00AE0F0B">
        <w:tc>
          <w:tcPr>
            <w:tcW w:w="704" w:type="dxa"/>
          </w:tcPr>
          <w:p w14:paraId="7F3C38CA" w14:textId="339CF7DD" w:rsidR="000B41A6" w:rsidRPr="00837919" w:rsidRDefault="000B41A6" w:rsidP="000B41A6">
            <w:r w:rsidRPr="00837919">
              <w:lastRenderedPageBreak/>
              <w:t>3</w:t>
            </w:r>
          </w:p>
        </w:tc>
        <w:tc>
          <w:tcPr>
            <w:tcW w:w="7140" w:type="dxa"/>
          </w:tcPr>
          <w:p w14:paraId="020F24AA" w14:textId="77777777" w:rsidR="000B41A6" w:rsidRPr="00837919" w:rsidRDefault="000B41A6" w:rsidP="000B41A6">
            <w:r w:rsidRPr="00837919">
              <w:t>Chương IV. Biểu mẫu mời thầu và dự thầu</w:t>
            </w:r>
          </w:p>
          <w:p w14:paraId="445B97E4" w14:textId="656B5B52" w:rsidR="000B41A6" w:rsidRPr="00837919" w:rsidRDefault="000B41A6" w:rsidP="000B41A6">
            <w:r w:rsidRPr="00837919">
              <w:rPr>
                <w:lang w:val="nl-NL"/>
              </w:rPr>
              <w:t>Mẫu số 01B. Bảng kê hạng mục công việc (áp dụng hợp đồng theo đơn giá cố định)</w:t>
            </w:r>
          </w:p>
        </w:tc>
        <w:tc>
          <w:tcPr>
            <w:tcW w:w="7460" w:type="dxa"/>
          </w:tcPr>
          <w:p w14:paraId="7979062A" w14:textId="77777777" w:rsidR="000B41A6" w:rsidRPr="00837919" w:rsidRDefault="000B41A6" w:rsidP="000B41A6">
            <w:r w:rsidRPr="00837919">
              <w:t>Chương IV. Biểu mẫu mời thầu và dự thầu</w:t>
            </w:r>
          </w:p>
          <w:p w14:paraId="08DEDF12" w14:textId="32EE76EA" w:rsidR="000B41A6" w:rsidRPr="00837919" w:rsidRDefault="000B41A6" w:rsidP="000B41A6">
            <w:r w:rsidRPr="00837919">
              <w:rPr>
                <w:lang w:val="nl-NL"/>
              </w:rPr>
              <w:t>Mẫu số 01B. Bảng kê hạng mục công việc (áp dụng hợp đồng theo đơn giá cố định)</w:t>
            </w:r>
          </w:p>
        </w:tc>
      </w:tr>
      <w:tr w:rsidR="000B41A6" w:rsidRPr="00837919" w14:paraId="16C01943" w14:textId="77777777" w:rsidTr="00AE0F0B">
        <w:tc>
          <w:tcPr>
            <w:tcW w:w="704" w:type="dxa"/>
          </w:tcPr>
          <w:p w14:paraId="281FFB5A" w14:textId="658DF16D" w:rsidR="000B41A6" w:rsidRPr="00837919" w:rsidRDefault="000B41A6" w:rsidP="000B41A6">
            <w:r w:rsidRPr="00837919">
              <w:t>4</w:t>
            </w:r>
          </w:p>
        </w:tc>
        <w:tc>
          <w:tcPr>
            <w:tcW w:w="7140" w:type="dxa"/>
          </w:tcPr>
          <w:p w14:paraId="6DFA830F" w14:textId="325B18C1" w:rsidR="000B41A6" w:rsidRPr="00837919" w:rsidRDefault="000B41A6" w:rsidP="000B41A6">
            <w:r w:rsidRPr="00837919">
              <w:t>Chương V. Yêu cầu kỹ thuật</w:t>
            </w:r>
          </w:p>
        </w:tc>
        <w:tc>
          <w:tcPr>
            <w:tcW w:w="7460" w:type="dxa"/>
          </w:tcPr>
          <w:p w14:paraId="3E82CEB6" w14:textId="33ED3AC0" w:rsidR="000B41A6" w:rsidRPr="00837919" w:rsidRDefault="000B41A6" w:rsidP="000B41A6">
            <w:r w:rsidRPr="00837919">
              <w:t>Chương V. Yêu cầu kỹ thuật</w:t>
            </w:r>
          </w:p>
        </w:tc>
      </w:tr>
      <w:tr w:rsidR="000B41A6" w:rsidRPr="00837919" w14:paraId="3054B1E9" w14:textId="77777777" w:rsidTr="00AE0F0B">
        <w:tc>
          <w:tcPr>
            <w:tcW w:w="704" w:type="dxa"/>
          </w:tcPr>
          <w:p w14:paraId="290815E3" w14:textId="5BEE72D5" w:rsidR="000B41A6" w:rsidRPr="00837919" w:rsidRDefault="000B41A6" w:rsidP="000B41A6">
            <w:r w:rsidRPr="00837919">
              <w:t>5</w:t>
            </w:r>
          </w:p>
        </w:tc>
        <w:tc>
          <w:tcPr>
            <w:tcW w:w="7140" w:type="dxa"/>
          </w:tcPr>
          <w:p w14:paraId="363C768A" w14:textId="6183351C" w:rsidR="000B41A6" w:rsidRPr="00837919" w:rsidRDefault="00837919" w:rsidP="000B41A6">
            <w:r w:rsidRPr="00837919">
              <w:t>T</w:t>
            </w:r>
            <w:r w:rsidR="000B41A6" w:rsidRPr="00837919">
              <w:t xml:space="preserve">ài liệu </w:t>
            </w:r>
            <w:r w:rsidRPr="00837919">
              <w:t>kỹ thuật đính kèm:</w:t>
            </w:r>
            <w:r w:rsidR="000B41A6" w:rsidRPr="00837919">
              <w:t xml:space="preserve"> Chỉ dẫn kỹ thuật, bản vẽ, báo cáo khảo sát</w:t>
            </w:r>
          </w:p>
        </w:tc>
        <w:tc>
          <w:tcPr>
            <w:tcW w:w="7460" w:type="dxa"/>
          </w:tcPr>
          <w:p w14:paraId="489C5424" w14:textId="691D59A4" w:rsidR="000B41A6" w:rsidRPr="00837919" w:rsidRDefault="000B41A6" w:rsidP="000B41A6">
            <w:r w:rsidRPr="00837919">
              <w:t xml:space="preserve">Toàn bộ tài liệu </w:t>
            </w:r>
            <w:r w:rsidR="00837919" w:rsidRPr="00837919">
              <w:t xml:space="preserve">đính kèm </w:t>
            </w:r>
            <w:r w:rsidRPr="00837919">
              <w:t>theo phê duyệt TKKT: Chỉ dẫn kỹ thuật, bản vẽ, báo cáo khảo sát</w:t>
            </w:r>
          </w:p>
        </w:tc>
      </w:tr>
    </w:tbl>
    <w:p w14:paraId="2493B50E" w14:textId="77777777" w:rsidR="000C504F" w:rsidRDefault="000C504F"/>
    <w:sectPr w:rsidR="000C504F" w:rsidSect="008E68E9">
      <w:pgSz w:w="16840" w:h="11907" w:orient="landscape" w:code="9"/>
      <w:pgMar w:top="1134" w:right="822" w:bottom="1134" w:left="851" w:header="561" w:footer="561"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500311"/>
    <w:multiLevelType w:val="hybridMultilevel"/>
    <w:tmpl w:val="88B4D578"/>
    <w:lvl w:ilvl="0" w:tplc="CD9421E0">
      <w:start w:val="1"/>
      <w:numFmt w:val="bullet"/>
      <w:lvlText w:val="+"/>
      <w:lvlJc w:val="left"/>
      <w:pPr>
        <w:tabs>
          <w:tab w:val="num" w:pos="720"/>
        </w:tabs>
        <w:ind w:left="720" w:hanging="360"/>
      </w:pPr>
      <w:rPr>
        <w:rFonts w:ascii="Times New Roman" w:eastAsia="Courier" w:hAnsi="Times New Roman" w:cs="Times New Roman" w:hint="default"/>
      </w:rPr>
    </w:lvl>
    <w:lvl w:ilvl="1" w:tplc="04090003" w:tentative="1">
      <w:start w:val="1"/>
      <w:numFmt w:val="bullet"/>
      <w:lvlText w:val="o"/>
      <w:lvlJc w:val="left"/>
      <w:pPr>
        <w:tabs>
          <w:tab w:val="num" w:pos="1899"/>
        </w:tabs>
        <w:ind w:left="1899" w:hanging="360"/>
      </w:pPr>
      <w:rPr>
        <w:rFonts w:ascii="Courier New" w:hAnsi="Courier New" w:cs="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cs="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cs="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num w:numId="1" w16cid:durableId="2080126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04F"/>
    <w:rsid w:val="000B41A6"/>
    <w:rsid w:val="000C504F"/>
    <w:rsid w:val="000C594D"/>
    <w:rsid w:val="00126300"/>
    <w:rsid w:val="001F5C35"/>
    <w:rsid w:val="00224A4A"/>
    <w:rsid w:val="00236EBB"/>
    <w:rsid w:val="00301943"/>
    <w:rsid w:val="00303FE8"/>
    <w:rsid w:val="00335E14"/>
    <w:rsid w:val="00340468"/>
    <w:rsid w:val="0040578F"/>
    <w:rsid w:val="0052181F"/>
    <w:rsid w:val="00556F07"/>
    <w:rsid w:val="006925B0"/>
    <w:rsid w:val="006E15D3"/>
    <w:rsid w:val="00710BF7"/>
    <w:rsid w:val="007147EC"/>
    <w:rsid w:val="007178BD"/>
    <w:rsid w:val="00777D6C"/>
    <w:rsid w:val="00797C97"/>
    <w:rsid w:val="00837919"/>
    <w:rsid w:val="008E68E9"/>
    <w:rsid w:val="009F10D9"/>
    <w:rsid w:val="00AE0F0B"/>
    <w:rsid w:val="00AF4D23"/>
    <w:rsid w:val="00B53114"/>
    <w:rsid w:val="00B804BE"/>
    <w:rsid w:val="00BB6F03"/>
    <w:rsid w:val="00C61F0D"/>
    <w:rsid w:val="00EF6736"/>
    <w:rsid w:val="00F9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77A2D"/>
  <w15:chartTrackingRefBased/>
  <w15:docId w15:val="{7803C7AF-F094-4FCA-B6A9-A1F0BBDEE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iCs/>
        <w:spacing w:val="6"/>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3114"/>
    <w:pPr>
      <w:spacing w:after="120" w:line="324" w:lineRule="auto"/>
      <w:jc w:val="both"/>
    </w:pPr>
  </w:style>
  <w:style w:type="paragraph" w:styleId="Heading1">
    <w:name w:val="heading 1"/>
    <w:basedOn w:val="Normal"/>
    <w:next w:val="Normal"/>
    <w:link w:val="Heading1Char"/>
    <w:autoRedefine/>
    <w:uiPriority w:val="9"/>
    <w:qFormat/>
    <w:rsid w:val="00B53114"/>
    <w:pPr>
      <w:keepNext/>
      <w:keepLines/>
      <w:spacing w:before="240" w:after="0"/>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B53114"/>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B53114"/>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B53114"/>
    <w:pPr>
      <w:keepNext/>
      <w:keepLines/>
      <w:spacing w:before="120" w:after="0"/>
      <w:jc w:val="left"/>
      <w:outlineLvl w:val="3"/>
    </w:pPr>
    <w:rPr>
      <w:rFonts w:eastAsiaTheme="majorEastAsia" w:cstheme="majorBidi"/>
      <w:i/>
      <w:iCs w:val="0"/>
    </w:rPr>
  </w:style>
  <w:style w:type="paragraph" w:styleId="Heading5">
    <w:name w:val="heading 5"/>
    <w:basedOn w:val="Normal"/>
    <w:next w:val="Normal"/>
    <w:link w:val="Heading5Char"/>
    <w:uiPriority w:val="9"/>
    <w:semiHidden/>
    <w:unhideWhenUsed/>
    <w:qFormat/>
    <w:rsid w:val="000C504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C504F"/>
    <w:pPr>
      <w:keepNext/>
      <w:keepLines/>
      <w:spacing w:before="40" w:after="0"/>
      <w:outlineLvl w:val="5"/>
    </w:pPr>
    <w:rPr>
      <w:rFonts w:asciiTheme="minorHAnsi" w:eastAsiaTheme="majorEastAsia" w:hAnsiTheme="minorHAnsi" w:cstheme="majorBidi"/>
      <w:i/>
      <w:iCs w:val="0"/>
      <w:color w:val="595959" w:themeColor="text1" w:themeTint="A6"/>
    </w:rPr>
  </w:style>
  <w:style w:type="paragraph" w:styleId="Heading7">
    <w:name w:val="heading 7"/>
    <w:basedOn w:val="Normal"/>
    <w:next w:val="Normal"/>
    <w:link w:val="Heading7Char"/>
    <w:uiPriority w:val="9"/>
    <w:semiHidden/>
    <w:unhideWhenUsed/>
    <w:qFormat/>
    <w:rsid w:val="000C50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C504F"/>
    <w:pPr>
      <w:keepNext/>
      <w:keepLines/>
      <w:spacing w:after="0"/>
      <w:outlineLvl w:val="7"/>
    </w:pPr>
    <w:rPr>
      <w:rFonts w:asciiTheme="minorHAnsi" w:eastAsiaTheme="majorEastAsia" w:hAnsiTheme="minorHAnsi" w:cstheme="majorBidi"/>
      <w:i/>
      <w:iCs w:val="0"/>
      <w:color w:val="272727" w:themeColor="text1" w:themeTint="D8"/>
    </w:rPr>
  </w:style>
  <w:style w:type="paragraph" w:styleId="Heading9">
    <w:name w:val="heading 9"/>
    <w:basedOn w:val="Normal"/>
    <w:next w:val="Normal"/>
    <w:link w:val="Heading9Char"/>
    <w:uiPriority w:val="9"/>
    <w:semiHidden/>
    <w:unhideWhenUsed/>
    <w:qFormat/>
    <w:rsid w:val="000C50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3114"/>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B53114"/>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B53114"/>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B53114"/>
    <w:rPr>
      <w:rFonts w:ascii="Times New Roman" w:eastAsiaTheme="majorEastAsia" w:hAnsi="Times New Roman" w:cstheme="majorBidi"/>
      <w:i/>
      <w:iCs w:val="0"/>
      <w:sz w:val="26"/>
    </w:rPr>
  </w:style>
  <w:style w:type="character" w:customStyle="1" w:styleId="Heading5Char">
    <w:name w:val="Heading 5 Char"/>
    <w:basedOn w:val="DefaultParagraphFont"/>
    <w:link w:val="Heading5"/>
    <w:uiPriority w:val="9"/>
    <w:semiHidden/>
    <w:rsid w:val="000C504F"/>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C504F"/>
    <w:rPr>
      <w:rFonts w:asciiTheme="minorHAnsi" w:eastAsiaTheme="majorEastAsia" w:hAnsiTheme="minorHAnsi" w:cstheme="majorBidi"/>
      <w:i/>
      <w:iCs w:val="0"/>
      <w:color w:val="595959" w:themeColor="text1" w:themeTint="A6"/>
    </w:rPr>
  </w:style>
  <w:style w:type="character" w:customStyle="1" w:styleId="Heading7Char">
    <w:name w:val="Heading 7 Char"/>
    <w:basedOn w:val="DefaultParagraphFont"/>
    <w:link w:val="Heading7"/>
    <w:uiPriority w:val="9"/>
    <w:semiHidden/>
    <w:rsid w:val="000C50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C504F"/>
    <w:rPr>
      <w:rFonts w:asciiTheme="minorHAnsi" w:eastAsiaTheme="majorEastAsia" w:hAnsiTheme="minorHAnsi" w:cstheme="majorBidi"/>
      <w:i/>
      <w:iCs w:val="0"/>
      <w:color w:val="272727" w:themeColor="text1" w:themeTint="D8"/>
    </w:rPr>
  </w:style>
  <w:style w:type="character" w:customStyle="1" w:styleId="Heading9Char">
    <w:name w:val="Heading 9 Char"/>
    <w:basedOn w:val="DefaultParagraphFont"/>
    <w:link w:val="Heading9"/>
    <w:uiPriority w:val="9"/>
    <w:semiHidden/>
    <w:rsid w:val="000C50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C50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50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504F"/>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0C50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0C504F"/>
    <w:pPr>
      <w:spacing w:before="160" w:after="160"/>
      <w:jc w:val="center"/>
    </w:pPr>
    <w:rPr>
      <w:i/>
      <w:iCs w:val="0"/>
      <w:color w:val="404040" w:themeColor="text1" w:themeTint="BF"/>
    </w:rPr>
  </w:style>
  <w:style w:type="character" w:customStyle="1" w:styleId="QuoteChar">
    <w:name w:val="Quote Char"/>
    <w:basedOn w:val="DefaultParagraphFont"/>
    <w:link w:val="Quote"/>
    <w:uiPriority w:val="29"/>
    <w:rsid w:val="000C504F"/>
    <w:rPr>
      <w:i/>
      <w:iCs w:val="0"/>
      <w:color w:val="404040" w:themeColor="text1" w:themeTint="BF"/>
    </w:rPr>
  </w:style>
  <w:style w:type="paragraph" w:styleId="ListParagraph">
    <w:name w:val="List Paragraph"/>
    <w:basedOn w:val="Normal"/>
    <w:uiPriority w:val="34"/>
    <w:qFormat/>
    <w:rsid w:val="000C504F"/>
    <w:pPr>
      <w:ind w:left="720"/>
      <w:contextualSpacing/>
    </w:pPr>
  </w:style>
  <w:style w:type="character" w:styleId="IntenseEmphasis">
    <w:name w:val="Intense Emphasis"/>
    <w:basedOn w:val="DefaultParagraphFont"/>
    <w:uiPriority w:val="21"/>
    <w:qFormat/>
    <w:rsid w:val="000C504F"/>
    <w:rPr>
      <w:i/>
      <w:iCs w:val="0"/>
      <w:color w:val="0F4761" w:themeColor="accent1" w:themeShade="BF"/>
    </w:rPr>
  </w:style>
  <w:style w:type="paragraph" w:styleId="IntenseQuote">
    <w:name w:val="Intense Quote"/>
    <w:basedOn w:val="Normal"/>
    <w:next w:val="Normal"/>
    <w:link w:val="IntenseQuoteChar"/>
    <w:uiPriority w:val="30"/>
    <w:qFormat/>
    <w:rsid w:val="000C504F"/>
    <w:pPr>
      <w:pBdr>
        <w:top w:val="single" w:sz="4" w:space="10" w:color="0F4761" w:themeColor="accent1" w:themeShade="BF"/>
        <w:bottom w:val="single" w:sz="4" w:space="10" w:color="0F4761" w:themeColor="accent1" w:themeShade="BF"/>
      </w:pBdr>
      <w:spacing w:before="360" w:after="360"/>
      <w:ind w:left="864" w:right="864"/>
      <w:jc w:val="center"/>
    </w:pPr>
    <w:rPr>
      <w:i/>
      <w:iCs w:val="0"/>
      <w:color w:val="0F4761" w:themeColor="accent1" w:themeShade="BF"/>
    </w:rPr>
  </w:style>
  <w:style w:type="character" w:customStyle="1" w:styleId="IntenseQuoteChar">
    <w:name w:val="Intense Quote Char"/>
    <w:basedOn w:val="DefaultParagraphFont"/>
    <w:link w:val="IntenseQuote"/>
    <w:uiPriority w:val="30"/>
    <w:rsid w:val="000C504F"/>
    <w:rPr>
      <w:i/>
      <w:iCs w:val="0"/>
      <w:color w:val="0F4761" w:themeColor="accent1" w:themeShade="BF"/>
    </w:rPr>
  </w:style>
  <w:style w:type="character" w:styleId="IntenseReference">
    <w:name w:val="Intense Reference"/>
    <w:basedOn w:val="DefaultParagraphFont"/>
    <w:uiPriority w:val="32"/>
    <w:qFormat/>
    <w:rsid w:val="000C504F"/>
    <w:rPr>
      <w:b/>
      <w:bCs/>
      <w:smallCaps/>
      <w:color w:val="0F4761" w:themeColor="accent1" w:themeShade="BF"/>
      <w:spacing w:val="5"/>
    </w:rPr>
  </w:style>
  <w:style w:type="table" w:styleId="TableGrid">
    <w:name w:val="Table Grid"/>
    <w:basedOn w:val="TableNormal"/>
    <w:uiPriority w:val="39"/>
    <w:rsid w:val="000C5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552</Words>
  <Characters>3153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PHAM THI HANH</dc:creator>
  <cp:keywords/>
  <dc:description/>
  <cp:lastModifiedBy>PHAM THI HANH</cp:lastModifiedBy>
  <cp:revision>6</cp:revision>
  <dcterms:created xsi:type="dcterms:W3CDTF">2025-08-26T08:00:00Z</dcterms:created>
  <dcterms:modified xsi:type="dcterms:W3CDTF">2025-08-26T09:19:00Z</dcterms:modified>
</cp:coreProperties>
</file>