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D74E9">
      <w:pPr>
        <w:spacing w:after="60"/>
        <w:jc w:val="center"/>
        <w:rPr>
          <w:rFonts w:ascii="Times New Roman" w:hAnsi="Times New Roman"/>
          <w:b/>
          <w:sz w:val="24"/>
          <w:szCs w:val="24"/>
        </w:rPr>
      </w:pPr>
    </w:p>
    <w:p w14:paraId="442D74EA">
      <w:pPr>
        <w:spacing w:after="60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PHỤ LỤC</w:t>
      </w:r>
    </w:p>
    <w:p w14:paraId="442D74EB">
      <w:pPr>
        <w:spacing w:after="60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Hiệu chỉnh một số nội dung HSMT</w:t>
      </w:r>
    </w:p>
    <w:p w14:paraId="442D74EC">
      <w:pPr>
        <w:spacing w:after="60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Gói thầu số 11: Cung cấp và vận chuyển VTTB nhất thứ phần mở rộng TBA 220kV Gia Lộc</w:t>
      </w:r>
    </w:p>
    <w:p w14:paraId="442D74ED">
      <w:pPr>
        <w:spacing w:after="60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Dự án: Đường dây 220kV 500kV  Hải Phòng - Gia Lộc</w:t>
      </w:r>
    </w:p>
    <w:tbl>
      <w:tblPr>
        <w:tblStyle w:val="19"/>
        <w:tblpPr w:leftFromText="180" w:rightFromText="180" w:vertAnchor="text" w:tblpY="1"/>
        <w:tblOverlap w:val="never"/>
        <w:tblW w:w="1520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638"/>
        <w:gridCol w:w="515"/>
        <w:gridCol w:w="4236"/>
        <w:gridCol w:w="5162"/>
        <w:gridCol w:w="2913"/>
      </w:tblGrid>
      <w:tr w14:paraId="442D74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tblHeader/>
        </w:trPr>
        <w:tc>
          <w:tcPr>
            <w:tcW w:w="741" w:type="dxa"/>
            <w:vAlign w:val="center"/>
          </w:tcPr>
          <w:p w14:paraId="442D74EE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STT</w:t>
            </w:r>
          </w:p>
        </w:tc>
        <w:tc>
          <w:tcPr>
            <w:tcW w:w="2153" w:type="dxa"/>
            <w:gridSpan w:val="2"/>
            <w:vAlign w:val="center"/>
          </w:tcPr>
          <w:p w14:paraId="442D74EF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Hạng mục</w:t>
            </w:r>
          </w:p>
        </w:tc>
        <w:tc>
          <w:tcPr>
            <w:tcW w:w="4236" w:type="dxa"/>
            <w:vAlign w:val="center"/>
          </w:tcPr>
          <w:p w14:paraId="442D74F0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HSMT duyệt theo QĐ số 1281/QĐ-EVNNPT ngày 06/7/2025</w:t>
            </w:r>
          </w:p>
        </w:tc>
        <w:tc>
          <w:tcPr>
            <w:tcW w:w="5162" w:type="dxa"/>
            <w:vAlign w:val="center"/>
          </w:tcPr>
          <w:p w14:paraId="442D74F1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Nội dung kiến nghị</w:t>
            </w:r>
          </w:p>
          <w:p w14:paraId="442D74F2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hiệu chỉnh HSMT</w:t>
            </w:r>
          </w:p>
        </w:tc>
        <w:tc>
          <w:tcPr>
            <w:tcW w:w="2913" w:type="dxa"/>
            <w:vAlign w:val="center"/>
          </w:tcPr>
          <w:p w14:paraId="442D74F3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Ghi chú</w:t>
            </w:r>
          </w:p>
        </w:tc>
      </w:tr>
      <w:tr w14:paraId="442D74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1" w:type="dxa"/>
            <w:vAlign w:val="center"/>
          </w:tcPr>
          <w:p w14:paraId="442D74F5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I</w:t>
            </w:r>
          </w:p>
        </w:tc>
        <w:tc>
          <w:tcPr>
            <w:tcW w:w="14464" w:type="dxa"/>
            <w:gridSpan w:val="5"/>
            <w:vAlign w:val="center"/>
          </w:tcPr>
          <w:p w14:paraId="442D74F6">
            <w:pPr>
              <w:pStyle w:val="17"/>
              <w:spacing w:before="60" w:after="0"/>
              <w:ind w:right="103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Chương II</w:t>
            </w:r>
          </w:p>
        </w:tc>
      </w:tr>
      <w:tr w14:paraId="442D74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1" w:type="dxa"/>
            <w:vAlign w:val="center"/>
          </w:tcPr>
          <w:p w14:paraId="442D74F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2153" w:type="dxa"/>
            <w:gridSpan w:val="2"/>
            <w:vMerge w:val="restart"/>
            <w:vAlign w:val="center"/>
          </w:tcPr>
          <w:p w14:paraId="442D74F9">
            <w:pPr>
              <w:jc w:val="both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Mục E-CDNT 18.2</w:t>
            </w:r>
          </w:p>
        </w:tc>
        <w:tc>
          <w:tcPr>
            <w:tcW w:w="4236" w:type="dxa"/>
            <w:vAlign w:val="center"/>
          </w:tcPr>
          <w:p w14:paraId="442D74FA">
            <w:pPr>
              <w:jc w:val="both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Giá trị bảo đảm dự thầu: </w:t>
            </w: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204.000.000 VNĐ</w:t>
            </w:r>
          </w:p>
        </w:tc>
        <w:tc>
          <w:tcPr>
            <w:tcW w:w="5162" w:type="dxa"/>
            <w:vAlign w:val="center"/>
          </w:tcPr>
          <w:p w14:paraId="442D74FB">
            <w:pPr>
              <w:jc w:val="both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Giá trị bảo đảm dự thầu: </w:t>
            </w: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203.000.000 VNĐ</w:t>
            </w:r>
          </w:p>
        </w:tc>
        <w:tc>
          <w:tcPr>
            <w:tcW w:w="2913" w:type="dxa"/>
            <w:vAlign w:val="center"/>
          </w:tcPr>
          <w:p w14:paraId="442D74FC">
            <w:pPr>
              <w:pStyle w:val="17"/>
              <w:spacing w:before="60" w:after="0"/>
              <w:ind w:right="103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Phù hợp với Dự toán gói thầu được phê duyệt tại QĐ số 1382/QĐ-EVNNPT ngày 17/7/2025</w:t>
            </w:r>
          </w:p>
        </w:tc>
      </w:tr>
      <w:tr w14:paraId="442D75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741" w:type="dxa"/>
            <w:vAlign w:val="center"/>
          </w:tcPr>
          <w:p w14:paraId="442D74F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2153" w:type="dxa"/>
            <w:gridSpan w:val="2"/>
            <w:vMerge w:val="continue"/>
            <w:vAlign w:val="center"/>
          </w:tcPr>
          <w:p w14:paraId="442D74FF">
            <w:pPr>
              <w:jc w:val="both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</w:p>
        </w:tc>
        <w:tc>
          <w:tcPr>
            <w:tcW w:w="4236" w:type="dxa"/>
            <w:shd w:val="clear" w:color="auto" w:fill="auto"/>
            <w:vAlign w:val="center"/>
          </w:tcPr>
          <w:p w14:paraId="442D7500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Tại Bảng dữ liệu đấu thầu. Mục E-CDNT 18.2: </w:t>
            </w:r>
          </w:p>
          <w:p w14:paraId="442D7501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it-IT"/>
              </w:rPr>
              <w:t xml:space="preserve">- Thời gian có hiệu lực của bảo đảm dự thầu: </w:t>
            </w:r>
            <w:r>
              <w:rPr>
                <w:rFonts w:ascii="Times New Roman" w:hAnsi="Times New Roman"/>
                <w:i/>
                <w:color w:val="auto"/>
                <w:sz w:val="26"/>
                <w:szCs w:val="26"/>
                <w:lang w:val="it-IT"/>
              </w:rPr>
              <w:t>[Hệ thống trích xuất từ E-TBMT].</w:t>
            </w:r>
          </w:p>
        </w:tc>
        <w:tc>
          <w:tcPr>
            <w:tcW w:w="5162" w:type="dxa"/>
            <w:shd w:val="clear" w:color="auto" w:fill="auto"/>
            <w:vAlign w:val="center"/>
          </w:tcPr>
          <w:p w14:paraId="442D7502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it-IT"/>
              </w:rPr>
              <w:t xml:space="preserve">- Thời gian có hiệu lực của bảo đảm dự thầu: </w:t>
            </w:r>
            <w:r>
              <w:rPr>
                <w:rFonts w:ascii="Times New Roman" w:hAnsi="Times New Roman" w:eastAsia="Helvetica"/>
                <w:color w:val="auto"/>
                <w:sz w:val="26"/>
                <w:szCs w:val="26"/>
                <w:shd w:val="clear" w:color="auto" w:fill="FFFFFF"/>
              </w:rPr>
              <w:t>Bằng thời gian có hiệu lực của hồ sơ dự thầu cộng thêm 30 ngày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913" w:type="dxa"/>
            <w:vAlign w:val="center"/>
          </w:tcPr>
          <w:p w14:paraId="442D7503">
            <w:pPr>
              <w:pStyle w:val="17"/>
              <w:spacing w:before="60" w:after="0"/>
              <w:ind w:right="103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Hệ thống không trích xuất hiệu lực của bảo đảm dự thầu. CĐT bổ sung để nhà thầu quan tâm có cơ sở chuẩn bị HSDT</w:t>
            </w:r>
          </w:p>
        </w:tc>
      </w:tr>
      <w:tr w14:paraId="442D75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41" w:type="dxa"/>
            <w:vAlign w:val="center"/>
          </w:tcPr>
          <w:p w14:paraId="442D7505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5"/>
                <w:szCs w:val="25"/>
              </w:rPr>
              <w:t>II</w:t>
            </w:r>
          </w:p>
        </w:tc>
        <w:tc>
          <w:tcPr>
            <w:tcW w:w="14464" w:type="dxa"/>
            <w:gridSpan w:val="5"/>
            <w:vAlign w:val="center"/>
          </w:tcPr>
          <w:p w14:paraId="442D7506">
            <w:pPr>
              <w:pStyle w:val="17"/>
              <w:spacing w:before="60" w:after="0"/>
              <w:ind w:right="103"/>
              <w:jc w:val="both"/>
              <w:rPr>
                <w:b/>
                <w:bCs/>
                <w:color w:val="auto"/>
                <w:sz w:val="25"/>
                <w:szCs w:val="25"/>
              </w:rPr>
            </w:pPr>
            <w:r>
              <w:rPr>
                <w:b/>
                <w:bCs/>
                <w:color w:val="auto"/>
                <w:sz w:val="25"/>
                <w:szCs w:val="25"/>
              </w:rPr>
              <w:t>Chương III: Tiêu chuẩn đánh giá E-HSDT</w:t>
            </w:r>
          </w:p>
        </w:tc>
      </w:tr>
      <w:tr w14:paraId="442D75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741" w:type="dxa"/>
            <w:vAlign w:val="center"/>
          </w:tcPr>
          <w:p w14:paraId="442D750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2153" w:type="dxa"/>
            <w:gridSpan w:val="2"/>
            <w:vAlign w:val="center"/>
          </w:tcPr>
          <w:p w14:paraId="442D7509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Bảng 2.1 Tiêu chuẩn đánh giá năng lực kinh nghiệm</w:t>
            </w:r>
          </w:p>
        </w:tc>
        <w:tc>
          <w:tcPr>
            <w:tcW w:w="4236" w:type="dxa"/>
            <w:vAlign w:val="center"/>
          </w:tcPr>
          <w:p w14:paraId="442D750A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Bảng 01:</w:t>
            </w:r>
          </w:p>
          <w:p w14:paraId="442D750B">
            <w:pPr>
              <w:jc w:val="both"/>
              <w:rPr>
                <w:rFonts w:ascii="Times New Roman" w:hAnsi="Times New Roman" w:eastAsia="Calibri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</w:rPr>
              <w:t xml:space="preserve">Doanh thu bình quân hằng năm (không bao gồm thuế VAT) của 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05</w:t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  <w:vertAlign w:val="superscript"/>
              </w:rPr>
              <w:t>(6)</w:t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</w:rPr>
              <w:t xml:space="preserve">năm tài chính gần nhất 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so với thời điểm đóng thầu</w:t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</w:rPr>
              <w:t xml:space="preserve"> của nhà thầu có giá trị tối thiểu là </w:t>
            </w:r>
            <w:r>
              <w:rPr>
                <w:rFonts w:ascii="Times New Roman" w:hAnsi="Times New Roman" w:eastAsia="Calibri"/>
                <w:b/>
                <w:bCs/>
                <w:color w:val="auto"/>
                <w:sz w:val="26"/>
                <w:szCs w:val="26"/>
              </w:rPr>
              <w:t xml:space="preserve">13.940.000.000  </w:t>
            </w:r>
            <w:r>
              <w:rPr>
                <w:rFonts w:ascii="Times New Roman" w:hAnsi="Times New Roman" w:eastAsia="Calibri"/>
                <w:b/>
                <w:bCs/>
                <w:color w:val="auto"/>
                <w:sz w:val="26"/>
                <w:szCs w:val="26"/>
                <w:vertAlign w:val="superscript"/>
              </w:rPr>
              <w:t>(7)</w:t>
            </w:r>
            <w:r>
              <w:rPr>
                <w:rFonts w:ascii="Times New Roman" w:hAnsi="Times New Roman" w:eastAsia="Calibri"/>
                <w:b/>
                <w:bCs/>
                <w:color w:val="auto"/>
                <w:sz w:val="26"/>
                <w:szCs w:val="26"/>
              </w:rPr>
              <w:t>VNĐ</w:t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</w:rPr>
              <w:t>.</w:t>
            </w:r>
          </w:p>
          <w:p w14:paraId="442D750C">
            <w:pPr>
              <w:jc w:val="both"/>
              <w:rPr>
                <w:rFonts w:ascii="Times New Roman" w:hAnsi="Times New Roman" w:eastAsia="Calibri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auto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eastAsia="Calibri"/>
                <w:iCs/>
                <w:color w:val="auto"/>
                <w:sz w:val="26"/>
                <w:szCs w:val="26"/>
              </w:rPr>
              <w:t xml:space="preserve">Kinh nghiệm thực hiện hợp đồng cung cấp hàng hóa tương tự có </w:t>
            </w:r>
            <w:r>
              <w:rPr>
                <w:rFonts w:ascii="Times New Roman" w:hAnsi="Times New Roman"/>
                <w:color w:val="auto"/>
                <w:sz w:val="26"/>
                <w:szCs w:val="26"/>
                <w:lang w:val="es-ES"/>
              </w:rPr>
              <w:t xml:space="preserve">Có quy mô (giá trị) tối thiểu: </w:t>
            </w: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5.111.000.000 </w:t>
            </w: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val="es-ES"/>
              </w:rPr>
              <w:t>VN</w:t>
            </w: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Đ</w:t>
            </w:r>
          </w:p>
        </w:tc>
        <w:tc>
          <w:tcPr>
            <w:tcW w:w="5162" w:type="dxa"/>
            <w:vAlign w:val="center"/>
          </w:tcPr>
          <w:p w14:paraId="442D750D">
            <w:pPr>
              <w:jc w:val="both"/>
              <w:rPr>
                <w:rFonts w:ascii="Times New Roman" w:hAnsi="Times New Roman" w:eastAsia="Calibri"/>
                <w:color w:val="auto"/>
                <w:sz w:val="26"/>
                <w:szCs w:val="26"/>
              </w:rPr>
            </w:pPr>
          </w:p>
          <w:p w14:paraId="442D750E">
            <w:pPr>
              <w:jc w:val="both"/>
              <w:rPr>
                <w:rFonts w:ascii="Times New Roman" w:hAnsi="Times New Roman" w:eastAsia="Calibri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auto"/>
                <w:sz w:val="26"/>
                <w:szCs w:val="26"/>
              </w:rPr>
              <w:t xml:space="preserve">- Doanh thu bình quân hằng năm (không bao gồm thuế VAT) của 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05</w:t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  <w:vertAlign w:val="superscript"/>
              </w:rPr>
              <w:t>(6)</w:t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</w:rPr>
              <w:t xml:space="preserve">năm tài chính gần nhất 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so với thời điểm đóng thầu</w:t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</w:rPr>
              <w:t xml:space="preserve"> của nhà thầu có giá trị tối thiểu là </w:t>
            </w:r>
            <w:r>
              <w:rPr>
                <w:rFonts w:ascii="Times New Roman" w:hAnsi="Times New Roman" w:eastAsia="Calibri"/>
                <w:b/>
                <w:bCs/>
                <w:color w:val="auto"/>
                <w:sz w:val="26"/>
                <w:szCs w:val="26"/>
              </w:rPr>
              <w:t>13.861.000.000</w:t>
            </w:r>
            <w:r>
              <w:rPr>
                <w:rFonts w:ascii="Times New Roman" w:hAnsi="Times New Roman" w:eastAsia="Calibri"/>
                <w:b/>
                <w:bCs/>
                <w:i/>
                <w:iCs/>
                <w:color w:val="auto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eastAsia="Calibri"/>
                <w:b/>
                <w:bCs/>
                <w:i/>
                <w:iCs/>
                <w:color w:val="auto"/>
                <w:sz w:val="26"/>
                <w:szCs w:val="26"/>
                <w:vertAlign w:val="superscript"/>
              </w:rPr>
              <w:t>(7)</w:t>
            </w:r>
            <w:r>
              <w:rPr>
                <w:rFonts w:ascii="Times New Roman" w:hAnsi="Times New Roman" w:eastAsia="Calibri"/>
                <w:b/>
                <w:bCs/>
                <w:i/>
                <w:iCs/>
                <w:color w:val="auto"/>
                <w:sz w:val="26"/>
                <w:szCs w:val="26"/>
              </w:rPr>
              <w:t>VNĐ.</w:t>
            </w:r>
          </w:p>
          <w:p w14:paraId="442D750F">
            <w:pPr>
              <w:jc w:val="both"/>
              <w:rPr>
                <w:rFonts w:ascii="Times New Roman" w:hAnsi="Times New Roman" w:eastAsia="Calibri"/>
                <w:color w:val="auto"/>
                <w:sz w:val="26"/>
                <w:szCs w:val="26"/>
              </w:rPr>
            </w:pPr>
          </w:p>
          <w:p w14:paraId="442D7510">
            <w:pPr>
              <w:jc w:val="both"/>
              <w:rPr>
                <w:rFonts w:ascii="Times New Roman" w:hAnsi="Times New Roman" w:eastAsia="Calibri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auto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eastAsia="Calibri"/>
                <w:iCs/>
                <w:color w:val="auto"/>
                <w:sz w:val="26"/>
                <w:szCs w:val="26"/>
              </w:rPr>
              <w:t xml:space="preserve">Kinh nghiệm thực hiện hợp đồng cung cấp hàng hóa tương tự có </w:t>
            </w:r>
            <w:r>
              <w:rPr>
                <w:rFonts w:ascii="Times New Roman" w:hAnsi="Times New Roman"/>
                <w:color w:val="auto"/>
                <w:sz w:val="26"/>
                <w:szCs w:val="26"/>
                <w:lang w:val="es-ES"/>
              </w:rPr>
              <w:t>Có quy mô (giá trị) tối thiểu: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5.082.000.000</w:t>
            </w: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val="es-E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6"/>
                <w:szCs w:val="26"/>
                <w:lang w:val="es-ES"/>
              </w:rPr>
              <w:t>VN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6"/>
                <w:szCs w:val="26"/>
              </w:rPr>
              <w:t>Đ</w:t>
            </w:r>
          </w:p>
        </w:tc>
        <w:tc>
          <w:tcPr>
            <w:tcW w:w="2913" w:type="dxa"/>
            <w:vAlign w:val="center"/>
          </w:tcPr>
          <w:p w14:paraId="442D7511">
            <w:pPr>
              <w:pStyle w:val="17"/>
              <w:spacing w:before="60" w:after="0"/>
              <w:ind w:right="103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Phù hợp với Dự toán gói thầu được phê duyệt tại QĐ số 1382/QĐ-EVNNPT ngày 17/7/2025</w:t>
            </w:r>
          </w:p>
        </w:tc>
      </w:tr>
      <w:tr w14:paraId="442D75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741" w:type="dxa"/>
            <w:vAlign w:val="center"/>
          </w:tcPr>
          <w:p w14:paraId="442D751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2153" w:type="dxa"/>
            <w:gridSpan w:val="2"/>
            <w:vAlign w:val="center"/>
          </w:tcPr>
          <w:p w14:paraId="442D7514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Bảng 2.2 Tiêu chuẩn đánh giá năng lực kinh nghiệm</w:t>
            </w:r>
          </w:p>
        </w:tc>
        <w:tc>
          <w:tcPr>
            <w:tcW w:w="4236" w:type="dxa"/>
            <w:shd w:val="clear" w:color="auto" w:fill="auto"/>
            <w:vAlign w:val="center"/>
          </w:tcPr>
          <w:p w14:paraId="442D7515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Bảng 02:</w:t>
            </w:r>
          </w:p>
          <w:p w14:paraId="442D7516">
            <w:pPr>
              <w:jc w:val="both"/>
              <w:rPr>
                <w:rFonts w:ascii="Times New Roman" w:hAnsi="Times New Roman" w:eastAsia="Calibri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</w:rPr>
              <w:t xml:space="preserve">Doanh thu bình quân hằng năm (không bao gồm thuế VAT) của 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05</w:t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  <w:vertAlign w:val="superscript"/>
              </w:rPr>
              <w:t>(6)</w:t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</w:rPr>
              <w:t xml:space="preserve">năm tài chính gần nhất 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so với thời điểm đóng thầu</w:t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</w:rPr>
              <w:t xml:space="preserve"> của nhà thầu có giá trị tối thiểu là </w:t>
            </w:r>
            <w:r>
              <w:rPr>
                <w:rFonts w:ascii="Times New Roman" w:hAnsi="Times New Roman" w:eastAsia="Calibri"/>
                <w:b/>
                <w:bCs/>
                <w:color w:val="auto"/>
                <w:sz w:val="26"/>
                <w:szCs w:val="26"/>
              </w:rPr>
              <w:t xml:space="preserve">13.940.000.000 </w:t>
            </w:r>
            <w:r>
              <w:rPr>
                <w:rFonts w:ascii="Times New Roman" w:hAnsi="Times New Roman" w:eastAsia="Calibri"/>
                <w:b/>
                <w:bCs/>
                <w:color w:val="auto"/>
                <w:sz w:val="26"/>
                <w:szCs w:val="26"/>
                <w:vertAlign w:val="superscript"/>
              </w:rPr>
              <w:t>(7)</w:t>
            </w:r>
            <w:r>
              <w:rPr>
                <w:rFonts w:ascii="Times New Roman" w:hAnsi="Times New Roman" w:eastAsia="Calibri"/>
                <w:b/>
                <w:bCs/>
                <w:color w:val="auto"/>
                <w:sz w:val="26"/>
                <w:szCs w:val="26"/>
              </w:rPr>
              <w:t>VNĐ</w:t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</w:rPr>
              <w:t>.</w:t>
            </w:r>
          </w:p>
          <w:p w14:paraId="442D7517">
            <w:pPr>
              <w:jc w:val="both"/>
              <w:rPr>
                <w:rFonts w:ascii="Times New Roman" w:hAnsi="Times New Roman" w:eastAsia="Calibri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s-ES"/>
              </w:rPr>
              <w:t>Trường hợp gói thầu có nhiều loại hàng hóa khác nhau thì việc đưa ra yêu cầu về năng lực sản xuất được thực hiện theo Bảng Y.</w:t>
            </w:r>
          </w:p>
        </w:tc>
        <w:tc>
          <w:tcPr>
            <w:tcW w:w="5162" w:type="dxa"/>
            <w:shd w:val="clear" w:color="auto" w:fill="auto"/>
            <w:vAlign w:val="center"/>
          </w:tcPr>
          <w:p w14:paraId="442D7518">
            <w:pPr>
              <w:jc w:val="both"/>
              <w:rPr>
                <w:rFonts w:ascii="Times New Roman" w:hAnsi="Times New Roman" w:eastAsia="Calibri"/>
                <w:color w:val="auto"/>
                <w:sz w:val="26"/>
                <w:szCs w:val="26"/>
              </w:rPr>
            </w:pPr>
          </w:p>
          <w:p w14:paraId="442D7519">
            <w:pPr>
              <w:jc w:val="both"/>
              <w:rPr>
                <w:rFonts w:ascii="Times New Roman" w:hAnsi="Times New Roman" w:eastAsia="Calibri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auto"/>
                <w:sz w:val="26"/>
                <w:szCs w:val="26"/>
              </w:rPr>
              <w:t xml:space="preserve">- Doanh thu bình quân hằng năm (không bao gồm thuế VAT) của 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05</w:t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  <w:vertAlign w:val="superscript"/>
              </w:rPr>
              <w:t>(6)</w:t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</w:rPr>
              <w:t xml:space="preserve">năm tài chính gần nhất 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so với thời điểm đóng thầu</w:t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</w:rPr>
              <w:t xml:space="preserve"> của nhà thầu có giá trị tối thiểu là </w:t>
            </w:r>
            <w:r>
              <w:rPr>
                <w:rFonts w:ascii="Times New Roman" w:hAnsi="Times New Roman" w:eastAsia="Calibri"/>
                <w:b/>
                <w:bCs/>
                <w:i/>
                <w:iCs/>
                <w:color w:val="auto"/>
                <w:sz w:val="26"/>
                <w:szCs w:val="26"/>
              </w:rPr>
              <w:t xml:space="preserve">13.861.000.000. </w:t>
            </w:r>
            <w:r>
              <w:rPr>
                <w:rFonts w:ascii="Times New Roman" w:hAnsi="Times New Roman" w:eastAsia="Calibri"/>
                <w:b/>
                <w:bCs/>
                <w:i/>
                <w:iCs/>
                <w:color w:val="auto"/>
                <w:sz w:val="26"/>
                <w:szCs w:val="26"/>
                <w:vertAlign w:val="superscript"/>
              </w:rPr>
              <w:t>(7)</w:t>
            </w:r>
            <w:r>
              <w:rPr>
                <w:rFonts w:ascii="Times New Roman" w:hAnsi="Times New Roman" w:eastAsia="Calibri"/>
                <w:b/>
                <w:bCs/>
                <w:i/>
                <w:iCs/>
                <w:color w:val="auto"/>
                <w:sz w:val="26"/>
                <w:szCs w:val="26"/>
              </w:rPr>
              <w:t>VNĐ</w:t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</w:rPr>
              <w:t>.</w:t>
            </w:r>
          </w:p>
          <w:p w14:paraId="442D751A">
            <w:pPr>
              <w:jc w:val="both"/>
              <w:rPr>
                <w:rFonts w:ascii="Times New Roman" w:hAnsi="Times New Roman" w:eastAsia="Calibri"/>
                <w:color w:val="auto"/>
                <w:sz w:val="26"/>
                <w:szCs w:val="26"/>
              </w:rPr>
            </w:pPr>
          </w:p>
          <w:p w14:paraId="442D751B">
            <w:pPr>
              <w:jc w:val="both"/>
              <w:rPr>
                <w:rFonts w:ascii="Times New Roman" w:hAnsi="Times New Roman" w:eastAsia="Calibri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lang w:val="es-ES"/>
              </w:rPr>
              <w:t>Trường hợp gói thầu có nhiều loại hàng hóa khác nhau thì việc đưa ra yêu cầu về năng lực sản xuất được thực hiện theo Bảng Y.</w:t>
            </w:r>
          </w:p>
        </w:tc>
        <w:tc>
          <w:tcPr>
            <w:tcW w:w="2913" w:type="dxa"/>
            <w:vAlign w:val="center"/>
          </w:tcPr>
          <w:p w14:paraId="442D751C">
            <w:pPr>
              <w:pStyle w:val="17"/>
              <w:spacing w:before="60" w:after="0"/>
              <w:ind w:right="103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Phù hợp với Dự toán gói thầu được phê duyệt tại QĐ số 1382/QĐ-EVNNPT ngày 17/7/2025; tính toán với chỉ số k = 1 (yêu cầu số lượng lớn)</w:t>
            </w:r>
          </w:p>
        </w:tc>
      </w:tr>
      <w:tr w14:paraId="442D75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741" w:type="dxa"/>
            <w:vAlign w:val="center"/>
          </w:tcPr>
          <w:p w14:paraId="442D751E">
            <w:pPr>
              <w:jc w:val="center"/>
              <w:rPr>
                <w:rFonts w:ascii="Times New Roman" w:hAnsi="Times New Roman"/>
                <w:color w:val="auto"/>
                <w:sz w:val="25"/>
                <w:szCs w:val="25"/>
              </w:rPr>
            </w:pPr>
          </w:p>
        </w:tc>
        <w:tc>
          <w:tcPr>
            <w:tcW w:w="1638" w:type="dxa"/>
            <w:vAlign w:val="center"/>
          </w:tcPr>
          <w:p w14:paraId="442D751F">
            <w:pPr>
              <w:jc w:val="both"/>
              <w:rPr>
                <w:rFonts w:ascii="Times New Roman" w:hAnsi="Times New Roman"/>
                <w:color w:val="auto"/>
                <w:sz w:val="25"/>
                <w:szCs w:val="25"/>
              </w:rPr>
            </w:pPr>
          </w:p>
        </w:tc>
        <w:tc>
          <w:tcPr>
            <w:tcW w:w="9913" w:type="dxa"/>
            <w:gridSpan w:val="3"/>
            <w:shd w:val="clear" w:color="auto" w:fill="auto"/>
            <w:vAlign w:val="center"/>
          </w:tcPr>
          <w:p w14:paraId="442D7520">
            <w:pPr>
              <w:jc w:val="both"/>
              <w:rPr>
                <w:rFonts w:ascii="Times New Roman" w:hAnsi="Times New Roman"/>
                <w:b/>
                <w:color w:val="auto"/>
                <w:sz w:val="25"/>
                <w:szCs w:val="25"/>
              </w:rPr>
            </w:pPr>
          </w:p>
          <w:p w14:paraId="442D7521">
            <w:pPr>
              <w:jc w:val="both"/>
              <w:rPr>
                <w:rFonts w:ascii="Times New Roman" w:hAnsi="Times New Roman"/>
                <w:color w:val="auto"/>
                <w:sz w:val="25"/>
                <w:szCs w:val="25"/>
                <w:lang w:val="es-ES"/>
              </w:rPr>
            </w:pPr>
            <w:r>
              <w:rPr>
                <w:rFonts w:ascii="Times New Roman" w:hAnsi="Times New Roman"/>
                <w:b/>
                <w:color w:val="auto"/>
                <w:sz w:val="25"/>
                <w:szCs w:val="25"/>
              </w:rPr>
              <w:t>HSMT duyệt theo QĐ số 1281/QĐ-EVNNPT ngày 06/7/2025</w:t>
            </w:r>
          </w:p>
          <w:p w14:paraId="442D7522">
            <w:pPr>
              <w:jc w:val="both"/>
              <w:rPr>
                <w:rFonts w:ascii="Times New Roman" w:hAnsi="Times New Roman"/>
                <w:color w:val="auto"/>
                <w:sz w:val="25"/>
                <w:szCs w:val="25"/>
                <w:lang w:val="es-ES"/>
              </w:rPr>
            </w:pPr>
          </w:p>
          <w:tbl>
            <w:tblPr>
              <w:tblStyle w:val="19"/>
              <w:tblW w:w="1836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67"/>
              <w:gridCol w:w="1138"/>
              <w:gridCol w:w="2317"/>
              <w:gridCol w:w="3310"/>
              <w:gridCol w:w="777"/>
              <w:gridCol w:w="3463"/>
              <w:gridCol w:w="2296"/>
              <w:gridCol w:w="2296"/>
            </w:tblGrid>
            <w:tr w14:paraId="442D75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7" w:type="dxa"/>
                  <w:shd w:val="clear" w:color="auto" w:fill="auto"/>
                  <w:vAlign w:val="center"/>
                </w:tcPr>
                <w:p w14:paraId="442D7523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  <w:lang w:val="es-ES" w:eastAsia="vi-VN"/>
                    </w:rPr>
                    <w:t>Danh mục hàng hóa</w:t>
                  </w: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442D7524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  <w:vertAlign w:val="superscript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  <w:lang w:val="es-ES" w:eastAsia="vi-VN"/>
                    </w:rPr>
                    <w:t>Mã HS</w:t>
                  </w:r>
                  <w:r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  <w:vertAlign w:val="superscript"/>
                      <w:lang w:val="es-ES" w:eastAsia="vi-VN"/>
                    </w:rPr>
                    <w:t>(1)</w:t>
                  </w:r>
                </w:p>
              </w:tc>
              <w:tc>
                <w:tcPr>
                  <w:tcW w:w="2317" w:type="dxa"/>
                  <w:shd w:val="clear" w:color="auto" w:fill="auto"/>
                  <w:vAlign w:val="center"/>
                </w:tcPr>
                <w:p w14:paraId="442D7525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2"/>
                      <w:szCs w:val="22"/>
                      <w:vertAlign w:val="superscript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auto"/>
                      <w:sz w:val="22"/>
                      <w:szCs w:val="22"/>
                      <w:lang w:val="es-ES" w:eastAsia="vi-VN"/>
                    </w:rPr>
                    <w:t>Giá trị được coi là tương tự (VND)</w:t>
                  </w:r>
                  <w:r>
                    <w:rPr>
                      <w:rFonts w:ascii="Times New Roman" w:hAnsi="Times New Roman"/>
                      <w:b/>
                      <w:bCs/>
                      <w:color w:val="auto"/>
                      <w:sz w:val="22"/>
                      <w:szCs w:val="22"/>
                      <w:vertAlign w:val="superscript"/>
                      <w:lang w:val="es-ES" w:eastAsia="vi-VN"/>
                    </w:rPr>
                    <w:t>(3)</w:t>
                  </w:r>
                </w:p>
              </w:tc>
              <w:tc>
                <w:tcPr>
                  <w:tcW w:w="3310" w:type="dxa"/>
                  <w:shd w:val="clear" w:color="auto" w:fill="auto"/>
                </w:tcPr>
                <w:p w14:paraId="442D7526">
                  <w:pPr>
                    <w:widowControl w:val="0"/>
                    <w:tabs>
                      <w:tab w:val="left" w:leader="dot" w:pos="8424"/>
                    </w:tabs>
                    <w:autoSpaceDE w:val="0"/>
                    <w:autoSpaceDN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auto"/>
                      <w:sz w:val="22"/>
                      <w:szCs w:val="22"/>
                      <w:lang w:val="es-ES"/>
                    </w:rPr>
                    <w:t>Công suất thiết kế của nhà máy, dây chuyền sản xuất đạt tối thiểu</w:t>
                  </w:r>
                </w:p>
                <w:p w14:paraId="442D7527">
                  <w:pPr>
                    <w:widowControl w:val="0"/>
                    <w:tabs>
                      <w:tab w:val="left" w:leader="dot" w:pos="8424"/>
                    </w:tabs>
                    <w:autoSpaceDE w:val="0"/>
                    <w:autoSpaceDN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auto"/>
                      <w:sz w:val="22"/>
                      <w:szCs w:val="22"/>
                      <w:lang w:val="es-ES"/>
                    </w:rPr>
                    <w:t>Hoặc:</w:t>
                  </w:r>
                </w:p>
                <w:p w14:paraId="442D7528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22"/>
                      <w:szCs w:val="22"/>
                      <w:vertAlign w:val="superscript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auto"/>
                      <w:sz w:val="22"/>
                      <w:szCs w:val="22"/>
                      <w:lang w:val="es-ES"/>
                    </w:rPr>
                    <w:t>Sản lượng sản xuất cao nhất của 01 tháng trong vòng 05 năm gần nhất tính đến thời điểm đóng thầu đạt tối thiểu</w:t>
                  </w:r>
                  <w:r>
                    <w:rPr>
                      <w:rFonts w:ascii="Times New Roman" w:hAnsi="Times New Roman"/>
                      <w:b/>
                      <w:bCs/>
                      <w:color w:val="auto"/>
                      <w:sz w:val="22"/>
                      <w:szCs w:val="22"/>
                      <w:vertAlign w:val="superscript"/>
                      <w:lang w:val="es-ES"/>
                    </w:rPr>
                    <w:t>(4)</w:t>
                  </w:r>
                </w:p>
              </w:tc>
              <w:tc>
                <w:tcPr>
                  <w:tcW w:w="777" w:type="dxa"/>
                </w:tcPr>
                <w:p w14:paraId="442D7529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3463" w:type="dxa"/>
                </w:tcPr>
                <w:p w14:paraId="442D752A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6" w:type="dxa"/>
                </w:tcPr>
                <w:p w14:paraId="442D752B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6" w:type="dxa"/>
                </w:tcPr>
                <w:p w14:paraId="442D752C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</w:tr>
            <w:tr w14:paraId="442D75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7" w:type="dxa"/>
                  <w:shd w:val="clear" w:color="auto" w:fill="auto"/>
                  <w:vAlign w:val="center"/>
                </w:tcPr>
                <w:p w14:paraId="442D752E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both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 xml:space="preserve">Máy cắt 220kV </w:t>
                  </w: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442D752F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8535</w:t>
                  </w:r>
                </w:p>
              </w:tc>
              <w:tc>
                <w:tcPr>
                  <w:tcW w:w="2317" w:type="dxa"/>
                  <w:vMerge w:val="restart"/>
                  <w:shd w:val="clear" w:color="auto" w:fill="auto"/>
                  <w:vAlign w:val="center"/>
                </w:tcPr>
                <w:p w14:paraId="442D7530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right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1.653.474.680 VNĐ</w:t>
                  </w:r>
                </w:p>
                <w:p w14:paraId="442D7531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right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s-ES" w:eastAsia="vi-VN"/>
                    </w:rPr>
                  </w:pPr>
                </w:p>
              </w:tc>
              <w:tc>
                <w:tcPr>
                  <w:tcW w:w="3310" w:type="dxa"/>
                  <w:shd w:val="clear" w:color="auto" w:fill="auto"/>
                  <w:vAlign w:val="center"/>
                </w:tcPr>
                <w:p w14:paraId="442D7532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3 bộ</w:t>
                  </w:r>
                </w:p>
              </w:tc>
              <w:tc>
                <w:tcPr>
                  <w:tcW w:w="777" w:type="dxa"/>
                </w:tcPr>
                <w:p w14:paraId="442D7533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3463" w:type="dxa"/>
                </w:tcPr>
                <w:p w14:paraId="442D7534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6" w:type="dxa"/>
                </w:tcPr>
                <w:p w14:paraId="442D7535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6" w:type="dxa"/>
                </w:tcPr>
                <w:p w14:paraId="442D7536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</w:tr>
            <w:tr w14:paraId="442D75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7" w:type="dxa"/>
                  <w:shd w:val="clear" w:color="auto" w:fill="auto"/>
                  <w:vAlign w:val="center"/>
                </w:tcPr>
                <w:p w14:paraId="442D7538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both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Dao cách ly 220/110/24kV</w:t>
                  </w: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442D7539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8535</w:t>
                  </w:r>
                </w:p>
              </w:tc>
              <w:tc>
                <w:tcPr>
                  <w:tcW w:w="2317" w:type="dxa"/>
                  <w:vMerge w:val="continue"/>
                  <w:shd w:val="clear" w:color="auto" w:fill="auto"/>
                  <w:vAlign w:val="center"/>
                </w:tcPr>
                <w:p w14:paraId="442D753A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wordWrap w:val="0"/>
                    <w:spacing w:before="120" w:after="120" w:line="259" w:lineRule="auto"/>
                    <w:ind w:left="0"/>
                    <w:contextualSpacing w:val="0"/>
                    <w:jc w:val="right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s-ES" w:eastAsia="vi-VN"/>
                    </w:rPr>
                  </w:pPr>
                </w:p>
              </w:tc>
              <w:tc>
                <w:tcPr>
                  <w:tcW w:w="3310" w:type="dxa"/>
                  <w:shd w:val="clear" w:color="auto" w:fill="auto"/>
                  <w:vAlign w:val="center"/>
                </w:tcPr>
                <w:p w14:paraId="442D753B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11 bộ</w:t>
                  </w:r>
                </w:p>
              </w:tc>
              <w:tc>
                <w:tcPr>
                  <w:tcW w:w="777" w:type="dxa"/>
                </w:tcPr>
                <w:p w14:paraId="442D753C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3463" w:type="dxa"/>
                </w:tcPr>
                <w:p w14:paraId="442D753D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6" w:type="dxa"/>
                </w:tcPr>
                <w:p w14:paraId="442D753E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6" w:type="dxa"/>
                </w:tcPr>
                <w:p w14:paraId="442D753F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</w:tr>
            <w:tr w14:paraId="442D75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7" w:type="dxa"/>
                  <w:shd w:val="clear" w:color="auto" w:fill="auto"/>
                  <w:vAlign w:val="center"/>
                </w:tcPr>
                <w:p w14:paraId="442D7541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both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Chống sét van 220/110/24kV</w:t>
                  </w: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442D7542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8535</w:t>
                  </w:r>
                </w:p>
              </w:tc>
              <w:tc>
                <w:tcPr>
                  <w:tcW w:w="2317" w:type="dxa"/>
                  <w:vMerge w:val="continue"/>
                  <w:shd w:val="clear" w:color="auto" w:fill="auto"/>
                  <w:vAlign w:val="center"/>
                </w:tcPr>
                <w:p w14:paraId="442D7543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right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s-ES" w:eastAsia="vi-VN"/>
                    </w:rPr>
                  </w:pPr>
                </w:p>
              </w:tc>
              <w:tc>
                <w:tcPr>
                  <w:tcW w:w="3310" w:type="dxa"/>
                  <w:shd w:val="clear" w:color="auto" w:fill="auto"/>
                  <w:vAlign w:val="center"/>
                </w:tcPr>
                <w:p w14:paraId="442D7544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8 bộ</w:t>
                  </w:r>
                </w:p>
              </w:tc>
              <w:tc>
                <w:tcPr>
                  <w:tcW w:w="777" w:type="dxa"/>
                </w:tcPr>
                <w:p w14:paraId="442D7545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3463" w:type="dxa"/>
                </w:tcPr>
                <w:p w14:paraId="442D7546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6" w:type="dxa"/>
                </w:tcPr>
                <w:p w14:paraId="442D7547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6" w:type="dxa"/>
                </w:tcPr>
                <w:p w14:paraId="442D7548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</w:tr>
            <w:tr w14:paraId="442D75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7" w:type="dxa"/>
                  <w:shd w:val="clear" w:color="auto" w:fill="auto"/>
                  <w:vAlign w:val="center"/>
                </w:tcPr>
                <w:p w14:paraId="442D754A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both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Biến dòng 220kV</w:t>
                  </w: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442D754B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auto"/>
                      <w:sz w:val="24"/>
                      <w:szCs w:val="24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8504</w:t>
                  </w:r>
                </w:p>
              </w:tc>
              <w:tc>
                <w:tcPr>
                  <w:tcW w:w="2317" w:type="dxa"/>
                  <w:vMerge w:val="restart"/>
                  <w:shd w:val="clear" w:color="auto" w:fill="auto"/>
                  <w:vAlign w:val="center"/>
                </w:tcPr>
                <w:p w14:paraId="442D754C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right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600.107.244 VNĐ</w:t>
                  </w:r>
                </w:p>
              </w:tc>
              <w:tc>
                <w:tcPr>
                  <w:tcW w:w="3310" w:type="dxa"/>
                  <w:shd w:val="clear" w:color="auto" w:fill="auto"/>
                  <w:vAlign w:val="center"/>
                </w:tcPr>
                <w:p w14:paraId="442D754D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8 bộ</w:t>
                  </w:r>
                </w:p>
              </w:tc>
              <w:tc>
                <w:tcPr>
                  <w:tcW w:w="777" w:type="dxa"/>
                </w:tcPr>
                <w:p w14:paraId="442D754E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3463" w:type="dxa"/>
                </w:tcPr>
                <w:p w14:paraId="442D754F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6" w:type="dxa"/>
                </w:tcPr>
                <w:p w14:paraId="442D7550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6" w:type="dxa"/>
                </w:tcPr>
                <w:p w14:paraId="442D7551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</w:tr>
            <w:tr w14:paraId="442D75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7" w:type="dxa"/>
                  <w:shd w:val="clear" w:color="auto" w:fill="auto"/>
                  <w:vAlign w:val="center"/>
                </w:tcPr>
                <w:p w14:paraId="442D7553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both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Biến điện áp 220/110/24kV</w:t>
                  </w: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442D7554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8504</w:t>
                  </w:r>
                </w:p>
              </w:tc>
              <w:tc>
                <w:tcPr>
                  <w:tcW w:w="2317" w:type="dxa"/>
                  <w:vMerge w:val="continue"/>
                  <w:shd w:val="clear" w:color="auto" w:fill="auto"/>
                  <w:vAlign w:val="center"/>
                </w:tcPr>
                <w:p w14:paraId="442D7555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wordWrap w:val="0"/>
                    <w:spacing w:before="120" w:after="120" w:line="259" w:lineRule="auto"/>
                    <w:ind w:left="0"/>
                    <w:contextualSpacing w:val="0"/>
                    <w:jc w:val="right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eastAsia="vi-VN"/>
                    </w:rPr>
                  </w:pPr>
                </w:p>
              </w:tc>
              <w:tc>
                <w:tcPr>
                  <w:tcW w:w="3310" w:type="dxa"/>
                  <w:shd w:val="clear" w:color="auto" w:fill="auto"/>
                  <w:vAlign w:val="center"/>
                </w:tcPr>
                <w:p w14:paraId="442D7556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8 bộ</w:t>
                  </w:r>
                </w:p>
              </w:tc>
              <w:tc>
                <w:tcPr>
                  <w:tcW w:w="777" w:type="dxa"/>
                </w:tcPr>
                <w:p w14:paraId="442D7557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3463" w:type="dxa"/>
                </w:tcPr>
                <w:p w14:paraId="442D7558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6" w:type="dxa"/>
                </w:tcPr>
                <w:p w14:paraId="442D7559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6" w:type="dxa"/>
                </w:tcPr>
                <w:p w14:paraId="442D755A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</w:tr>
            <w:tr w14:paraId="442D75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7" w:type="dxa"/>
                  <w:shd w:val="clear" w:color="auto" w:fill="auto"/>
                  <w:vAlign w:val="center"/>
                </w:tcPr>
                <w:p w14:paraId="442D755C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both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Sứ đứng, kẹp cực 220/110/24kV và phụ kiện đường dây,….</w:t>
                  </w: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442D755D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8546</w:t>
                  </w:r>
                </w:p>
              </w:tc>
              <w:tc>
                <w:tcPr>
                  <w:tcW w:w="2317" w:type="dxa"/>
                  <w:shd w:val="clear" w:color="auto" w:fill="auto"/>
                  <w:vAlign w:val="center"/>
                </w:tcPr>
                <w:p w14:paraId="442D755E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wordWrap w:val="0"/>
                    <w:spacing w:before="120" w:after="120" w:line="259" w:lineRule="auto"/>
                    <w:ind w:left="0"/>
                    <w:contextualSpacing w:val="0"/>
                    <w:jc w:val="right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167.501.032 VNĐ</w:t>
                  </w:r>
                </w:p>
              </w:tc>
              <w:tc>
                <w:tcPr>
                  <w:tcW w:w="3310" w:type="dxa"/>
                  <w:shd w:val="clear" w:color="auto" w:fill="auto"/>
                  <w:vAlign w:val="center"/>
                </w:tcPr>
                <w:p w14:paraId="442D755F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12 bộ</w:t>
                  </w:r>
                </w:p>
              </w:tc>
              <w:tc>
                <w:tcPr>
                  <w:tcW w:w="777" w:type="dxa"/>
                </w:tcPr>
                <w:p w14:paraId="442D7560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3463" w:type="dxa"/>
                </w:tcPr>
                <w:p w14:paraId="442D7561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6" w:type="dxa"/>
                </w:tcPr>
                <w:p w14:paraId="442D7562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6" w:type="dxa"/>
                </w:tcPr>
                <w:p w14:paraId="442D7563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</w:tr>
          </w:tbl>
          <w:p w14:paraId="442D7565">
            <w:pPr>
              <w:jc w:val="both"/>
              <w:rPr>
                <w:rFonts w:ascii="Times New Roman" w:hAnsi="Times New Roman"/>
                <w:color w:val="auto"/>
                <w:sz w:val="25"/>
                <w:szCs w:val="25"/>
                <w:lang w:val="es-ES"/>
              </w:rPr>
            </w:pPr>
          </w:p>
          <w:p w14:paraId="442D7566">
            <w:pPr>
              <w:jc w:val="both"/>
              <w:rPr>
                <w:rFonts w:ascii="Times New Roman" w:hAnsi="Times New Roman"/>
                <w:color w:val="auto"/>
                <w:sz w:val="25"/>
                <w:szCs w:val="25"/>
                <w:lang w:val="es-ES"/>
              </w:rPr>
            </w:pPr>
          </w:p>
        </w:tc>
        <w:tc>
          <w:tcPr>
            <w:tcW w:w="2913" w:type="dxa"/>
            <w:vAlign w:val="center"/>
          </w:tcPr>
          <w:p w14:paraId="442D7567">
            <w:pPr>
              <w:pStyle w:val="17"/>
              <w:spacing w:before="60" w:after="0"/>
              <w:ind w:right="103"/>
              <w:jc w:val="both"/>
              <w:rPr>
                <w:color w:val="auto"/>
                <w:sz w:val="25"/>
                <w:szCs w:val="25"/>
              </w:rPr>
            </w:pPr>
          </w:p>
        </w:tc>
      </w:tr>
      <w:tr w14:paraId="442D75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741" w:type="dxa"/>
            <w:vAlign w:val="center"/>
          </w:tcPr>
          <w:p w14:paraId="442D7569">
            <w:pPr>
              <w:jc w:val="center"/>
              <w:rPr>
                <w:rFonts w:ascii="Times New Roman" w:hAnsi="Times New Roman"/>
                <w:color w:val="auto"/>
                <w:sz w:val="25"/>
                <w:szCs w:val="25"/>
              </w:rPr>
            </w:pPr>
          </w:p>
        </w:tc>
        <w:tc>
          <w:tcPr>
            <w:tcW w:w="1638" w:type="dxa"/>
            <w:vAlign w:val="center"/>
          </w:tcPr>
          <w:p w14:paraId="442D756A">
            <w:pPr>
              <w:jc w:val="both"/>
              <w:rPr>
                <w:rFonts w:ascii="Times New Roman" w:hAnsi="Times New Roman"/>
                <w:color w:val="auto"/>
                <w:sz w:val="25"/>
                <w:szCs w:val="25"/>
              </w:rPr>
            </w:pPr>
          </w:p>
        </w:tc>
        <w:tc>
          <w:tcPr>
            <w:tcW w:w="9913" w:type="dxa"/>
            <w:gridSpan w:val="3"/>
            <w:shd w:val="clear" w:color="auto" w:fill="auto"/>
            <w:vAlign w:val="center"/>
          </w:tcPr>
          <w:p w14:paraId="442D756B">
            <w:pPr>
              <w:jc w:val="both"/>
              <w:rPr>
                <w:rFonts w:ascii="Times New Roman" w:hAnsi="Times New Roman"/>
                <w:b/>
                <w:bCs/>
                <w:color w:val="auto"/>
                <w:sz w:val="25"/>
                <w:szCs w:val="25"/>
              </w:rPr>
            </w:pPr>
          </w:p>
          <w:p w14:paraId="442D756C">
            <w:pPr>
              <w:jc w:val="both"/>
              <w:rPr>
                <w:rFonts w:ascii="Times New Roman" w:hAnsi="Times New Roman"/>
                <w:b/>
                <w:bCs/>
                <w:color w:val="auto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5"/>
                <w:szCs w:val="25"/>
              </w:rPr>
              <w:t>Nội dung kiến nghị hiệu chỉnh</w:t>
            </w:r>
          </w:p>
          <w:p w14:paraId="442D756D">
            <w:pPr>
              <w:jc w:val="both"/>
              <w:rPr>
                <w:rFonts w:ascii="Times New Roman" w:hAnsi="Times New Roman"/>
                <w:color w:val="auto"/>
                <w:sz w:val="25"/>
                <w:szCs w:val="25"/>
                <w:lang w:val="es-ES"/>
              </w:rPr>
            </w:pPr>
          </w:p>
          <w:tbl>
            <w:tblPr>
              <w:tblStyle w:val="19"/>
              <w:tblW w:w="1836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52"/>
              <w:gridCol w:w="1630"/>
              <w:gridCol w:w="1857"/>
              <w:gridCol w:w="3293"/>
              <w:gridCol w:w="1945"/>
              <w:gridCol w:w="2295"/>
              <w:gridCol w:w="2296"/>
              <w:gridCol w:w="2296"/>
            </w:tblGrid>
            <w:tr w14:paraId="442D75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52" w:type="dxa"/>
                  <w:shd w:val="clear" w:color="auto" w:fill="auto"/>
                  <w:vAlign w:val="center"/>
                </w:tcPr>
                <w:p w14:paraId="442D756E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  <w:lang w:val="es-ES" w:eastAsia="vi-VN"/>
                    </w:rPr>
                    <w:t>Danh mục hàng hóa</w:t>
                  </w:r>
                </w:p>
              </w:tc>
              <w:tc>
                <w:tcPr>
                  <w:tcW w:w="1630" w:type="dxa"/>
                  <w:shd w:val="clear" w:color="auto" w:fill="auto"/>
                  <w:vAlign w:val="center"/>
                </w:tcPr>
                <w:p w14:paraId="442D756F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  <w:vertAlign w:val="superscript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  <w:lang w:val="es-ES" w:eastAsia="vi-VN"/>
                    </w:rPr>
                    <w:t>Mã HS</w:t>
                  </w: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  <w:vertAlign w:val="superscript"/>
                      <w:lang w:val="es-ES" w:eastAsia="vi-VN"/>
                    </w:rPr>
                    <w:t>(1)</w:t>
                  </w:r>
                </w:p>
              </w:tc>
              <w:tc>
                <w:tcPr>
                  <w:tcW w:w="1857" w:type="dxa"/>
                  <w:shd w:val="clear" w:color="auto" w:fill="auto"/>
                  <w:vAlign w:val="center"/>
                </w:tcPr>
                <w:p w14:paraId="442D7570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vertAlign w:val="superscript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lang w:val="es-ES" w:eastAsia="vi-VN"/>
                    </w:rPr>
                    <w:t>Giá trị được coi là tương tự (VND)</w:t>
                  </w:r>
                  <w:r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vertAlign w:val="superscript"/>
                      <w:lang w:val="es-ES" w:eastAsia="vi-VN"/>
                    </w:rPr>
                    <w:t>(3)</w:t>
                  </w:r>
                </w:p>
              </w:tc>
              <w:tc>
                <w:tcPr>
                  <w:tcW w:w="3293" w:type="dxa"/>
                  <w:shd w:val="clear" w:color="auto" w:fill="auto"/>
                </w:tcPr>
                <w:p w14:paraId="442D7571">
                  <w:pPr>
                    <w:widowControl w:val="0"/>
                    <w:tabs>
                      <w:tab w:val="left" w:leader="dot" w:pos="8424"/>
                    </w:tabs>
                    <w:autoSpaceDE w:val="0"/>
                    <w:autoSpaceDN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lang w:val="es-ES"/>
                    </w:rPr>
                    <w:t>Công suất thiết kế của nhà máy, dây chuyền sản xuất đạt tối thiểu</w:t>
                  </w:r>
                </w:p>
                <w:p w14:paraId="442D7572">
                  <w:pPr>
                    <w:widowControl w:val="0"/>
                    <w:tabs>
                      <w:tab w:val="left" w:leader="dot" w:pos="8424"/>
                    </w:tabs>
                    <w:autoSpaceDE w:val="0"/>
                    <w:autoSpaceDN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lang w:val="es-ES"/>
                    </w:rPr>
                    <w:t>Hoặc:</w:t>
                  </w:r>
                </w:p>
                <w:p w14:paraId="442D7573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both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vertAlign w:val="superscript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lang w:val="es-ES"/>
                    </w:rPr>
                    <w:t>Sản lượng sản xuất cao nhất của 01 tháng trong vòng 05 năm gần nhất tính đến thời điểm đóng thầu đạt tối thiểu</w:t>
                  </w:r>
                  <w:r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vertAlign w:val="superscript"/>
                      <w:lang w:val="es-ES"/>
                    </w:rPr>
                    <w:t>(4)</w:t>
                  </w:r>
                </w:p>
              </w:tc>
              <w:tc>
                <w:tcPr>
                  <w:tcW w:w="1945" w:type="dxa"/>
                </w:tcPr>
                <w:p w14:paraId="442D7574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5" w:type="dxa"/>
                </w:tcPr>
                <w:p w14:paraId="442D7575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6" w:type="dxa"/>
                </w:tcPr>
                <w:p w14:paraId="442D7576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6" w:type="dxa"/>
                </w:tcPr>
                <w:p w14:paraId="442D7577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</w:tr>
            <w:tr w14:paraId="442D75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52" w:type="dxa"/>
                  <w:shd w:val="clear" w:color="auto" w:fill="auto"/>
                  <w:vAlign w:val="center"/>
                </w:tcPr>
                <w:p w14:paraId="442D7579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both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 xml:space="preserve">Máy cắt 220kV </w:t>
                  </w:r>
                </w:p>
              </w:tc>
              <w:tc>
                <w:tcPr>
                  <w:tcW w:w="1630" w:type="dxa"/>
                  <w:shd w:val="clear" w:color="auto" w:fill="auto"/>
                  <w:vAlign w:val="center"/>
                </w:tcPr>
                <w:p w14:paraId="442D757A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8535</w:t>
                  </w:r>
                </w:p>
              </w:tc>
              <w:tc>
                <w:tcPr>
                  <w:tcW w:w="1857" w:type="dxa"/>
                  <w:vMerge w:val="restart"/>
                  <w:shd w:val="clear" w:color="auto" w:fill="auto"/>
                  <w:vAlign w:val="center"/>
                </w:tcPr>
                <w:p w14:paraId="442D757B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right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1.654.166.800 VNĐ</w:t>
                  </w:r>
                </w:p>
              </w:tc>
              <w:tc>
                <w:tcPr>
                  <w:tcW w:w="3293" w:type="dxa"/>
                  <w:shd w:val="clear" w:color="auto" w:fill="auto"/>
                  <w:vAlign w:val="center"/>
                </w:tcPr>
                <w:p w14:paraId="442D757C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3 bộ</w:t>
                  </w:r>
                </w:p>
              </w:tc>
              <w:tc>
                <w:tcPr>
                  <w:tcW w:w="1945" w:type="dxa"/>
                </w:tcPr>
                <w:p w14:paraId="442D757D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5" w:type="dxa"/>
                </w:tcPr>
                <w:p w14:paraId="442D757E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6" w:type="dxa"/>
                </w:tcPr>
                <w:p w14:paraId="442D757F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6" w:type="dxa"/>
                </w:tcPr>
                <w:p w14:paraId="442D7580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</w:tr>
            <w:tr w14:paraId="442D75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52" w:type="dxa"/>
                  <w:shd w:val="clear" w:color="auto" w:fill="auto"/>
                  <w:vAlign w:val="center"/>
                </w:tcPr>
                <w:p w14:paraId="442D7582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both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Dao cách ly 220/110/24kV</w:t>
                  </w:r>
                </w:p>
              </w:tc>
              <w:tc>
                <w:tcPr>
                  <w:tcW w:w="1630" w:type="dxa"/>
                  <w:shd w:val="clear" w:color="auto" w:fill="auto"/>
                  <w:vAlign w:val="center"/>
                </w:tcPr>
                <w:p w14:paraId="442D7583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8535</w:t>
                  </w:r>
                </w:p>
              </w:tc>
              <w:tc>
                <w:tcPr>
                  <w:tcW w:w="1857" w:type="dxa"/>
                  <w:vMerge w:val="continue"/>
                  <w:shd w:val="clear" w:color="auto" w:fill="auto"/>
                  <w:vAlign w:val="center"/>
                </w:tcPr>
                <w:p w14:paraId="442D7584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right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s-ES" w:eastAsia="vi-VN"/>
                    </w:rPr>
                  </w:pPr>
                </w:p>
              </w:tc>
              <w:tc>
                <w:tcPr>
                  <w:tcW w:w="3293" w:type="dxa"/>
                  <w:shd w:val="clear" w:color="auto" w:fill="auto"/>
                  <w:vAlign w:val="center"/>
                </w:tcPr>
                <w:p w14:paraId="442D7585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11 bộ</w:t>
                  </w:r>
                </w:p>
              </w:tc>
              <w:tc>
                <w:tcPr>
                  <w:tcW w:w="1945" w:type="dxa"/>
                </w:tcPr>
                <w:p w14:paraId="442D7586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5" w:type="dxa"/>
                </w:tcPr>
                <w:p w14:paraId="442D7587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6" w:type="dxa"/>
                </w:tcPr>
                <w:p w14:paraId="442D7588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6" w:type="dxa"/>
                </w:tcPr>
                <w:p w14:paraId="442D7589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</w:tr>
            <w:tr w14:paraId="442D75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52" w:type="dxa"/>
                  <w:shd w:val="clear" w:color="auto" w:fill="auto"/>
                  <w:vAlign w:val="center"/>
                </w:tcPr>
                <w:p w14:paraId="442D758B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both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Chống sét van 220/110/24kV</w:t>
                  </w:r>
                </w:p>
              </w:tc>
              <w:tc>
                <w:tcPr>
                  <w:tcW w:w="1630" w:type="dxa"/>
                  <w:shd w:val="clear" w:color="auto" w:fill="auto"/>
                  <w:vAlign w:val="center"/>
                </w:tcPr>
                <w:p w14:paraId="442D758C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8535</w:t>
                  </w:r>
                </w:p>
              </w:tc>
              <w:tc>
                <w:tcPr>
                  <w:tcW w:w="1857" w:type="dxa"/>
                  <w:vMerge w:val="continue"/>
                  <w:shd w:val="clear" w:color="auto" w:fill="auto"/>
                  <w:vAlign w:val="center"/>
                </w:tcPr>
                <w:p w14:paraId="442D758D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right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s-ES" w:eastAsia="vi-VN"/>
                    </w:rPr>
                  </w:pPr>
                </w:p>
              </w:tc>
              <w:tc>
                <w:tcPr>
                  <w:tcW w:w="3293" w:type="dxa"/>
                  <w:shd w:val="clear" w:color="auto" w:fill="auto"/>
                  <w:vAlign w:val="center"/>
                </w:tcPr>
                <w:p w14:paraId="442D758E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s-ES"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8 bộ</w:t>
                  </w:r>
                </w:p>
              </w:tc>
              <w:tc>
                <w:tcPr>
                  <w:tcW w:w="1945" w:type="dxa"/>
                </w:tcPr>
                <w:p w14:paraId="442D758F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5" w:type="dxa"/>
                </w:tcPr>
                <w:p w14:paraId="442D7590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6" w:type="dxa"/>
                </w:tcPr>
                <w:p w14:paraId="442D7591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6" w:type="dxa"/>
                </w:tcPr>
                <w:p w14:paraId="442D7592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</w:tr>
            <w:tr w14:paraId="442D75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52" w:type="dxa"/>
                  <w:shd w:val="clear" w:color="auto" w:fill="auto"/>
                  <w:vAlign w:val="center"/>
                </w:tcPr>
                <w:p w14:paraId="442D7594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both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Biến dòng 220kV</w:t>
                  </w:r>
                </w:p>
              </w:tc>
              <w:tc>
                <w:tcPr>
                  <w:tcW w:w="1630" w:type="dxa"/>
                  <w:shd w:val="clear" w:color="auto" w:fill="auto"/>
                  <w:vAlign w:val="center"/>
                </w:tcPr>
                <w:p w14:paraId="442D7595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auto"/>
                      <w:sz w:val="24"/>
                      <w:szCs w:val="24"/>
                      <w:lang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8504</w:t>
                  </w:r>
                </w:p>
              </w:tc>
              <w:tc>
                <w:tcPr>
                  <w:tcW w:w="1857" w:type="dxa"/>
                  <w:vMerge w:val="restart"/>
                  <w:shd w:val="clear" w:color="auto" w:fill="auto"/>
                  <w:vAlign w:val="center"/>
                </w:tcPr>
                <w:p w14:paraId="442D7596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right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600.358.440 VNĐ</w:t>
                  </w:r>
                </w:p>
              </w:tc>
              <w:tc>
                <w:tcPr>
                  <w:tcW w:w="3293" w:type="dxa"/>
                  <w:shd w:val="clear" w:color="auto" w:fill="auto"/>
                  <w:vAlign w:val="center"/>
                </w:tcPr>
                <w:p w14:paraId="442D7597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eastAsia="vi-VN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8 bộ</w:t>
                  </w:r>
                </w:p>
              </w:tc>
              <w:tc>
                <w:tcPr>
                  <w:tcW w:w="1945" w:type="dxa"/>
                </w:tcPr>
                <w:p w14:paraId="442D7598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5"/>
                      <w:szCs w:val="25"/>
                    </w:rPr>
                    <w:t xml:space="preserve"> </w:t>
                  </w:r>
                </w:p>
              </w:tc>
              <w:tc>
                <w:tcPr>
                  <w:tcW w:w="2295" w:type="dxa"/>
                </w:tcPr>
                <w:p w14:paraId="442D7599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6" w:type="dxa"/>
                </w:tcPr>
                <w:p w14:paraId="442D759A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6" w:type="dxa"/>
                </w:tcPr>
                <w:p w14:paraId="442D759B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</w:tr>
            <w:tr w14:paraId="442D75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52" w:type="dxa"/>
                  <w:shd w:val="clear" w:color="auto" w:fill="auto"/>
                  <w:vAlign w:val="center"/>
                </w:tcPr>
                <w:p w14:paraId="442D759D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Biến điện áp 220/110/24kV</w:t>
                  </w:r>
                  <w:bookmarkStart w:id="0" w:name="_GoBack"/>
                  <w:bookmarkEnd w:id="0"/>
                </w:p>
              </w:tc>
              <w:tc>
                <w:tcPr>
                  <w:tcW w:w="1630" w:type="dxa"/>
                  <w:shd w:val="clear" w:color="auto" w:fill="auto"/>
                  <w:vAlign w:val="center"/>
                </w:tcPr>
                <w:p w14:paraId="442D759E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color w:val="auto"/>
                      <w:sz w:val="25"/>
                      <w:szCs w:val="25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8504</w:t>
                  </w:r>
                </w:p>
              </w:tc>
              <w:tc>
                <w:tcPr>
                  <w:tcW w:w="1857" w:type="dxa"/>
                  <w:vMerge w:val="continue"/>
                  <w:shd w:val="clear" w:color="auto" w:fill="auto"/>
                  <w:vAlign w:val="center"/>
                </w:tcPr>
                <w:p w14:paraId="442D759F">
                  <w:pPr>
                    <w:jc w:val="right"/>
                    <w:rPr>
                      <w:rFonts w:ascii="Times New Roman" w:hAnsi="Times New Roman"/>
                      <w:color w:val="auto"/>
                      <w:sz w:val="25"/>
                      <w:szCs w:val="25"/>
                    </w:rPr>
                  </w:pPr>
                </w:p>
              </w:tc>
              <w:tc>
                <w:tcPr>
                  <w:tcW w:w="3293" w:type="dxa"/>
                  <w:shd w:val="clear" w:color="auto" w:fill="auto"/>
                  <w:vAlign w:val="center"/>
                </w:tcPr>
                <w:p w14:paraId="442D75A0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color w:val="auto"/>
                      <w:sz w:val="25"/>
                      <w:szCs w:val="25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8 bộ</w:t>
                  </w:r>
                </w:p>
              </w:tc>
              <w:tc>
                <w:tcPr>
                  <w:tcW w:w="1945" w:type="dxa"/>
                </w:tcPr>
                <w:p w14:paraId="442D75A1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</w:rPr>
                  </w:pPr>
                </w:p>
              </w:tc>
              <w:tc>
                <w:tcPr>
                  <w:tcW w:w="2295" w:type="dxa"/>
                </w:tcPr>
                <w:p w14:paraId="442D75A2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6" w:type="dxa"/>
                </w:tcPr>
                <w:p w14:paraId="442D75A3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6" w:type="dxa"/>
                </w:tcPr>
                <w:p w14:paraId="442D75A4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</w:tr>
            <w:tr w14:paraId="442D75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52" w:type="dxa"/>
                  <w:shd w:val="clear" w:color="auto" w:fill="auto"/>
                  <w:vAlign w:val="center"/>
                </w:tcPr>
                <w:p w14:paraId="442D75A6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Sứ đứng, kẹp cực 220/110/24kV và phụ kiện đường dây,….</w:t>
                  </w:r>
                </w:p>
              </w:tc>
              <w:tc>
                <w:tcPr>
                  <w:tcW w:w="1630" w:type="dxa"/>
                  <w:shd w:val="clear" w:color="auto" w:fill="auto"/>
                  <w:vAlign w:val="center"/>
                </w:tcPr>
                <w:p w14:paraId="442D75A7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color w:val="auto"/>
                      <w:sz w:val="25"/>
                      <w:szCs w:val="25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8546</w:t>
                  </w:r>
                </w:p>
              </w:tc>
              <w:tc>
                <w:tcPr>
                  <w:tcW w:w="1857" w:type="dxa"/>
                  <w:shd w:val="clear" w:color="auto" w:fill="auto"/>
                  <w:vAlign w:val="center"/>
                </w:tcPr>
                <w:p w14:paraId="442D75A8">
                  <w:pPr>
                    <w:jc w:val="right"/>
                    <w:rPr>
                      <w:rFonts w:ascii="Times New Roman" w:hAnsi="Times New Roman"/>
                      <w:color w:val="auto"/>
                      <w:sz w:val="25"/>
                      <w:szCs w:val="25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135.268.623 VNĐ</w:t>
                  </w:r>
                </w:p>
              </w:tc>
              <w:tc>
                <w:tcPr>
                  <w:tcW w:w="3293" w:type="dxa"/>
                  <w:shd w:val="clear" w:color="auto" w:fill="auto"/>
                  <w:vAlign w:val="center"/>
                </w:tcPr>
                <w:p w14:paraId="442D75A9">
                  <w:pPr>
                    <w:pStyle w:val="32"/>
                    <w:widowControl w:val="0"/>
                    <w:tabs>
                      <w:tab w:val="left" w:pos="434"/>
                      <w:tab w:val="left" w:pos="993"/>
                    </w:tabs>
                    <w:spacing w:before="120" w:after="120" w:line="259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color w:val="auto"/>
                      <w:sz w:val="25"/>
                      <w:szCs w:val="25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6"/>
                      <w:szCs w:val="26"/>
                      <w:lang w:eastAsia="vi-VN"/>
                    </w:rPr>
                    <w:t>12 bộ</w:t>
                  </w:r>
                </w:p>
              </w:tc>
              <w:tc>
                <w:tcPr>
                  <w:tcW w:w="1945" w:type="dxa"/>
                </w:tcPr>
                <w:p w14:paraId="442D75AA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</w:rPr>
                  </w:pPr>
                </w:p>
              </w:tc>
              <w:tc>
                <w:tcPr>
                  <w:tcW w:w="2295" w:type="dxa"/>
                </w:tcPr>
                <w:p w14:paraId="442D75AB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6" w:type="dxa"/>
                </w:tcPr>
                <w:p w14:paraId="442D75AC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  <w:tc>
                <w:tcPr>
                  <w:tcW w:w="2296" w:type="dxa"/>
                </w:tcPr>
                <w:p w14:paraId="442D75AD">
                  <w:pPr>
                    <w:jc w:val="both"/>
                    <w:rPr>
                      <w:rFonts w:ascii="Times New Roman" w:hAnsi="Times New Roman"/>
                      <w:color w:val="auto"/>
                      <w:sz w:val="25"/>
                      <w:szCs w:val="25"/>
                      <w:lang w:val="es-ES"/>
                    </w:rPr>
                  </w:pPr>
                </w:p>
              </w:tc>
            </w:tr>
          </w:tbl>
          <w:p w14:paraId="442D75B0">
            <w:pPr>
              <w:jc w:val="both"/>
              <w:rPr>
                <w:rFonts w:ascii="Times New Roman" w:hAnsi="Times New Roman"/>
                <w:color w:val="auto"/>
                <w:sz w:val="25"/>
                <w:szCs w:val="25"/>
                <w:lang w:val="es-ES"/>
              </w:rPr>
            </w:pPr>
          </w:p>
        </w:tc>
        <w:tc>
          <w:tcPr>
            <w:tcW w:w="2913" w:type="dxa"/>
            <w:vAlign w:val="center"/>
          </w:tcPr>
          <w:p w14:paraId="442D75B1">
            <w:pPr>
              <w:pStyle w:val="17"/>
              <w:spacing w:before="60" w:after="0"/>
              <w:ind w:right="103"/>
              <w:jc w:val="both"/>
              <w:rPr>
                <w:color w:val="auto"/>
                <w:sz w:val="25"/>
                <w:szCs w:val="25"/>
                <w:lang w:val="es-ES"/>
              </w:rPr>
            </w:pPr>
            <w:r>
              <w:rPr>
                <w:color w:val="auto"/>
                <w:sz w:val="25"/>
                <w:szCs w:val="25"/>
                <w:lang w:val="es-ES"/>
              </w:rPr>
              <w:t>Phù hợp với thiết kế triển khai sau thiết kế cơ sở và dự toán gói thầu được phê duyệt</w:t>
            </w:r>
          </w:p>
        </w:tc>
      </w:tr>
      <w:tr w14:paraId="442D75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41" w:type="dxa"/>
            <w:vAlign w:val="center"/>
          </w:tcPr>
          <w:p w14:paraId="442D75B3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5"/>
                <w:szCs w:val="25"/>
              </w:rPr>
              <w:t>III</w:t>
            </w:r>
          </w:p>
        </w:tc>
        <w:tc>
          <w:tcPr>
            <w:tcW w:w="14464" w:type="dxa"/>
            <w:gridSpan w:val="5"/>
            <w:vAlign w:val="center"/>
          </w:tcPr>
          <w:p w14:paraId="442D75B4">
            <w:pPr>
              <w:pStyle w:val="17"/>
              <w:spacing w:before="60" w:after="0"/>
              <w:ind w:right="103"/>
              <w:jc w:val="both"/>
              <w:rPr>
                <w:b/>
                <w:bCs/>
                <w:color w:val="auto"/>
                <w:sz w:val="25"/>
                <w:szCs w:val="25"/>
              </w:rPr>
            </w:pPr>
            <w:r>
              <w:rPr>
                <w:b/>
                <w:bCs/>
                <w:color w:val="auto"/>
                <w:sz w:val="25"/>
                <w:szCs w:val="25"/>
              </w:rPr>
              <w:t>Chương IV: Biểu mẫu mời thầu</w:t>
            </w:r>
          </w:p>
        </w:tc>
      </w:tr>
      <w:tr w14:paraId="442D75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741" w:type="dxa"/>
            <w:vAlign w:val="center"/>
          </w:tcPr>
          <w:p w14:paraId="442D75B6">
            <w:pPr>
              <w:jc w:val="center"/>
              <w:rPr>
                <w:rFonts w:ascii="Times New Roman" w:hAnsi="Times New Roman"/>
                <w:color w:val="auto"/>
                <w:sz w:val="25"/>
                <w:szCs w:val="25"/>
              </w:rPr>
            </w:pPr>
            <w:r>
              <w:rPr>
                <w:rFonts w:ascii="Times New Roman" w:hAnsi="Times New Roman"/>
                <w:color w:val="auto"/>
                <w:sz w:val="25"/>
                <w:szCs w:val="25"/>
              </w:rPr>
              <w:t>1</w:t>
            </w:r>
          </w:p>
        </w:tc>
        <w:tc>
          <w:tcPr>
            <w:tcW w:w="2153" w:type="dxa"/>
            <w:gridSpan w:val="2"/>
            <w:vAlign w:val="center"/>
          </w:tcPr>
          <w:p w14:paraId="442D75B7">
            <w:pPr>
              <w:jc w:val="both"/>
              <w:rPr>
                <w:rFonts w:ascii="Times New Roman" w:hAnsi="Times New Roman"/>
                <w:color w:val="auto"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5"/>
                <w:szCs w:val="25"/>
              </w:rPr>
              <w:t>Mẫu 01A – Phạm vi cung cấp và Mẫu 01D. Các dịch vụ liên quan</w:t>
            </w:r>
          </w:p>
        </w:tc>
        <w:tc>
          <w:tcPr>
            <w:tcW w:w="4236" w:type="dxa"/>
            <w:vAlign w:val="center"/>
          </w:tcPr>
          <w:p w14:paraId="442D75B8">
            <w:pPr>
              <w:jc w:val="both"/>
              <w:rPr>
                <w:rFonts w:ascii="Times New Roman" w:hAnsi="Times New Roman"/>
                <w:color w:val="auto"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5"/>
                <w:szCs w:val="25"/>
              </w:rPr>
              <w:t>Chưa cập nhật vào biểu mẫu 01A – Phạm vi cung cấp và  Mẫu 01D. Các dịch vụ liên quan</w:t>
            </w:r>
          </w:p>
        </w:tc>
        <w:tc>
          <w:tcPr>
            <w:tcW w:w="5162" w:type="dxa"/>
            <w:vAlign w:val="center"/>
          </w:tcPr>
          <w:p w14:paraId="442D75B9">
            <w:pPr>
              <w:jc w:val="both"/>
              <w:rPr>
                <w:rFonts w:ascii="Times New Roman" w:hAnsi="Times New Roman"/>
                <w:color w:val="auto"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5"/>
                <w:szCs w:val="25"/>
              </w:rPr>
              <w:t>Cập nhật phạm vi cung cấp vào biểu mẫu 01A – Phạm vi cung cấp và  Mẫu 01D. Các dịch vụ liên quan</w:t>
            </w:r>
          </w:p>
        </w:tc>
        <w:tc>
          <w:tcPr>
            <w:tcW w:w="2913" w:type="dxa"/>
            <w:vAlign w:val="center"/>
          </w:tcPr>
          <w:p w14:paraId="442D75BA">
            <w:pPr>
              <w:pStyle w:val="17"/>
              <w:spacing w:before="60" w:after="0"/>
              <w:ind w:right="103"/>
              <w:jc w:val="both"/>
              <w:rPr>
                <w:color w:val="auto"/>
                <w:sz w:val="25"/>
                <w:szCs w:val="25"/>
                <w:highlight w:val="yellow"/>
              </w:rPr>
            </w:pPr>
            <w:r>
              <w:rPr>
                <w:color w:val="auto"/>
                <w:sz w:val="25"/>
                <w:szCs w:val="25"/>
              </w:rPr>
              <w:t>Phù hợp với E-HSMT đính kèm trên hệ thống mạng đấu thầu Quốc gia</w:t>
            </w:r>
          </w:p>
        </w:tc>
      </w:tr>
      <w:tr w14:paraId="442D75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741" w:type="dxa"/>
            <w:vAlign w:val="center"/>
          </w:tcPr>
          <w:p w14:paraId="442D75BC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2153" w:type="dxa"/>
            <w:gridSpan w:val="2"/>
            <w:vAlign w:val="center"/>
          </w:tcPr>
          <w:p w14:paraId="442D75BD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Mẫu số 08 (webform trên Hệ thống)</w:t>
            </w:r>
          </w:p>
          <w:p w14:paraId="442D75BE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TÌNH HÌNH TÀI CHÍNH CỦA NHÀ THẦU</w:t>
            </w:r>
            <w:r>
              <w:rPr>
                <w:rFonts w:ascii="Times New Roman" w:hAnsi="Times New Roman"/>
                <w:color w:val="auto"/>
                <w:sz w:val="26"/>
                <w:szCs w:val="26"/>
                <w:vertAlign w:val="superscript"/>
              </w:rPr>
              <w:t>(1)</w:t>
            </w:r>
          </w:p>
        </w:tc>
        <w:tc>
          <w:tcPr>
            <w:tcW w:w="4236" w:type="dxa"/>
            <w:vAlign w:val="center"/>
          </w:tcPr>
          <w:p w14:paraId="442D75BF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auto"/>
                <w:sz w:val="26"/>
                <w:szCs w:val="26"/>
              </w:rPr>
              <w:t xml:space="preserve">Số liệu tài chính trong các năm gần nhất theo yêu cầu của E-HSMT </w:t>
            </w:r>
            <w:r>
              <w:rPr>
                <w:rFonts w:ascii="Times New Roman" w:hAnsi="Times New Roman" w:eastAsia="Calibri"/>
                <w:i/>
                <w:iCs/>
                <w:color w:val="auto"/>
                <w:sz w:val="26"/>
                <w:szCs w:val="26"/>
              </w:rPr>
              <w:t>(Hệ thống tự động trích xuất trên cơ sở năm tài chính của nhà thầu )</w:t>
            </w:r>
          </w:p>
        </w:tc>
        <w:tc>
          <w:tcPr>
            <w:tcW w:w="5162" w:type="dxa"/>
            <w:shd w:val="clear" w:color="auto" w:fill="auto"/>
            <w:vAlign w:val="center"/>
          </w:tcPr>
          <w:p w14:paraId="442D75C0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auto"/>
                <w:sz w:val="26"/>
                <w:szCs w:val="26"/>
              </w:rPr>
              <w:t>Số liệu tài chính trong các năm gần nhất theo yêu cầu của E-HSMT (</w:t>
            </w:r>
            <w:r>
              <w:rPr>
                <w:rFonts w:ascii="Times New Roman" w:hAnsi="Times New Roman" w:eastAsia="Calibri"/>
                <w:i/>
                <w:iCs/>
                <w:color w:val="auto"/>
                <w:sz w:val="26"/>
                <w:szCs w:val="26"/>
              </w:rPr>
              <w:t>2020</w:t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eastAsia="Calibri"/>
                <w:i/>
                <w:iCs/>
                <w:color w:val="auto"/>
                <w:sz w:val="26"/>
                <w:szCs w:val="26"/>
              </w:rPr>
              <w:t>2021, 2022, 2023, 2024).</w:t>
            </w:r>
          </w:p>
        </w:tc>
        <w:tc>
          <w:tcPr>
            <w:tcW w:w="2913" w:type="dxa"/>
            <w:vMerge w:val="restart"/>
            <w:shd w:val="clear" w:color="auto" w:fill="auto"/>
            <w:vAlign w:val="center"/>
          </w:tcPr>
          <w:p w14:paraId="442D75C1">
            <w:pPr>
              <w:pStyle w:val="17"/>
              <w:spacing w:before="60" w:after="0"/>
              <w:ind w:right="103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Hệ thống không trích xuất hiệu lực của bảo đảm dự thầu. CĐT bổ sung để nhà thầu quan tâm có cơ sở chuẩn bị HSDT</w:t>
            </w:r>
          </w:p>
        </w:tc>
      </w:tr>
      <w:tr w14:paraId="442D75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741" w:type="dxa"/>
            <w:vAlign w:val="center"/>
          </w:tcPr>
          <w:p w14:paraId="442D75C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14:paraId="442D75C4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Mẫu số 10A (webform trên Hệ thống) BẢNG TIẾN ĐỘ CUNG CẤP</w:t>
            </w:r>
            <w:r>
              <w:rPr>
                <w:rFonts w:ascii="Times New Roman" w:hAnsi="Times New Roman"/>
                <w:color w:val="auto"/>
                <w:sz w:val="26"/>
                <w:szCs w:val="26"/>
                <w:vertAlign w:val="superscript"/>
              </w:rPr>
              <w:t>(*)</w:t>
            </w:r>
          </w:p>
        </w:tc>
        <w:tc>
          <w:tcPr>
            <w:tcW w:w="4236" w:type="dxa"/>
            <w:vAlign w:val="center"/>
          </w:tcPr>
          <w:p w14:paraId="442D75C5">
            <w:pPr>
              <w:jc w:val="both"/>
              <w:rPr>
                <w:rFonts w:ascii="Times New Roman" w:hAnsi="Times New Roman" w:eastAsia="Calibri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Calibri"/>
                <w:color w:val="auto"/>
                <w:sz w:val="26"/>
                <w:szCs w:val="26"/>
              </w:rPr>
              <w:t xml:space="preserve">Số liệu tài chính trong các năm gần nhất theo yêu cầu của E-HSMT </w:t>
            </w:r>
            <w:r>
              <w:rPr>
                <w:rFonts w:ascii="Times New Roman" w:hAnsi="Times New Roman" w:eastAsia="Calibri"/>
                <w:i/>
                <w:iCs/>
                <w:color w:val="auto"/>
                <w:sz w:val="26"/>
                <w:szCs w:val="26"/>
              </w:rPr>
              <w:t>(Hệ thống tự động trích xuất trên cơ sở năm tài chính của nhà thầu )</w:t>
            </w:r>
          </w:p>
        </w:tc>
        <w:tc>
          <w:tcPr>
            <w:tcW w:w="5162" w:type="dxa"/>
            <w:shd w:val="clear" w:color="auto" w:fill="auto"/>
            <w:vAlign w:val="center"/>
          </w:tcPr>
          <w:p w14:paraId="442D75C6">
            <w:pPr>
              <w:widowControl w:val="0"/>
              <w:tabs>
                <w:tab w:val="right" w:pos="7272"/>
              </w:tabs>
              <w:spacing w:before="80" w:after="8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Được cập nhật trong E-HSMT hiệu chỉnh</w:t>
            </w:r>
          </w:p>
        </w:tc>
        <w:tc>
          <w:tcPr>
            <w:tcW w:w="2913" w:type="dxa"/>
            <w:vMerge w:val="continue"/>
            <w:shd w:val="clear" w:color="auto" w:fill="auto"/>
            <w:vAlign w:val="center"/>
          </w:tcPr>
          <w:p w14:paraId="442D75C7">
            <w:pPr>
              <w:widowControl w:val="0"/>
              <w:tabs>
                <w:tab w:val="right" w:pos="7272"/>
              </w:tabs>
              <w:spacing w:before="80" w:after="8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14:paraId="442D75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741" w:type="dxa"/>
            <w:vAlign w:val="center"/>
          </w:tcPr>
          <w:p w14:paraId="442D75C9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14:paraId="442D75CA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Các biểu mẫu tiếp theo liên quan đến bảng giá dự thầu, bảng giá vật tư, chi phí sản xuất trong nước, …</w:t>
            </w:r>
          </w:p>
        </w:tc>
        <w:tc>
          <w:tcPr>
            <w:tcW w:w="4236" w:type="dxa"/>
            <w:vAlign w:val="center"/>
          </w:tcPr>
          <w:p w14:paraId="442D75CB">
            <w:pPr>
              <w:jc w:val="both"/>
              <w:rPr>
                <w:rFonts w:ascii="Times New Roman" w:hAnsi="Times New Roman" w:eastAsia="Calibri"/>
                <w:color w:val="auto"/>
                <w:sz w:val="26"/>
                <w:szCs w:val="26"/>
              </w:rPr>
            </w:pPr>
          </w:p>
        </w:tc>
        <w:tc>
          <w:tcPr>
            <w:tcW w:w="5162" w:type="dxa"/>
            <w:shd w:val="clear" w:color="auto" w:fill="auto"/>
            <w:vAlign w:val="center"/>
          </w:tcPr>
          <w:p w14:paraId="442D75CC">
            <w:pPr>
              <w:widowControl w:val="0"/>
              <w:tabs>
                <w:tab w:val="right" w:pos="7272"/>
              </w:tabs>
              <w:spacing w:before="80" w:after="8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Nhà thầu kê khai, điền thông tin trên cơ sở biểu mẫu </w:t>
            </w:r>
            <w:r>
              <w:rPr>
                <w:rFonts w:hint="default" w:ascii="Times New Roman" w:hAnsi="Times New Roman"/>
                <w:color w:val="auto"/>
                <w:sz w:val="26"/>
                <w:szCs w:val="26"/>
                <w:lang w:val="en-US"/>
              </w:rPr>
              <w:t>01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A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442D75CD">
            <w:pPr>
              <w:widowControl w:val="0"/>
              <w:tabs>
                <w:tab w:val="right" w:pos="7272"/>
              </w:tabs>
              <w:spacing w:before="80" w:after="8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Hệ thống không trích xuất hiệu lực của bảo đảm dự thầu. CĐT bổ sung để nhà thầu quan tâm có cơ sở chuẩn bị HSDT</w:t>
            </w:r>
          </w:p>
        </w:tc>
      </w:tr>
      <w:tr w14:paraId="442D75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41" w:type="dxa"/>
            <w:vAlign w:val="center"/>
          </w:tcPr>
          <w:p w14:paraId="442D75CF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5"/>
                <w:szCs w:val="25"/>
              </w:rPr>
              <w:t>IV</w:t>
            </w:r>
          </w:p>
        </w:tc>
        <w:tc>
          <w:tcPr>
            <w:tcW w:w="14464" w:type="dxa"/>
            <w:gridSpan w:val="5"/>
            <w:vAlign w:val="center"/>
          </w:tcPr>
          <w:p w14:paraId="442D75D0">
            <w:pPr>
              <w:pStyle w:val="17"/>
              <w:spacing w:before="60" w:after="0"/>
              <w:ind w:right="103"/>
              <w:jc w:val="both"/>
              <w:rPr>
                <w:b/>
                <w:bCs/>
                <w:color w:val="auto"/>
                <w:sz w:val="25"/>
                <w:szCs w:val="25"/>
              </w:rPr>
            </w:pPr>
            <w:r>
              <w:rPr>
                <w:b/>
                <w:bCs/>
                <w:color w:val="auto"/>
                <w:sz w:val="25"/>
                <w:szCs w:val="25"/>
              </w:rPr>
              <w:t>Chương V: Phạm vi cung cấp và yêu cầu kỹ thuật</w:t>
            </w:r>
          </w:p>
        </w:tc>
      </w:tr>
      <w:tr w14:paraId="442D75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741" w:type="dxa"/>
            <w:vAlign w:val="center"/>
          </w:tcPr>
          <w:p w14:paraId="442D75D2">
            <w:pPr>
              <w:jc w:val="center"/>
              <w:rPr>
                <w:rFonts w:ascii="Times New Roman" w:hAnsi="Times New Roman"/>
                <w:color w:val="auto"/>
                <w:sz w:val="25"/>
                <w:szCs w:val="25"/>
              </w:rPr>
            </w:pPr>
            <w:r>
              <w:rPr>
                <w:rFonts w:ascii="Times New Roman" w:hAnsi="Times New Roman"/>
                <w:color w:val="auto"/>
                <w:sz w:val="25"/>
                <w:szCs w:val="25"/>
              </w:rPr>
              <w:t>1</w:t>
            </w:r>
          </w:p>
        </w:tc>
        <w:tc>
          <w:tcPr>
            <w:tcW w:w="2153" w:type="dxa"/>
            <w:gridSpan w:val="2"/>
            <w:vAlign w:val="center"/>
          </w:tcPr>
          <w:p w14:paraId="442D75D3">
            <w:pPr>
              <w:jc w:val="both"/>
              <w:rPr>
                <w:rFonts w:ascii="Times New Roman" w:hAnsi="Times New Roman"/>
                <w:color w:val="auto"/>
                <w:sz w:val="25"/>
                <w:szCs w:val="25"/>
              </w:rPr>
            </w:pPr>
            <w:r>
              <w:rPr>
                <w:rFonts w:ascii="Times New Roman" w:hAnsi="Times New Roman"/>
                <w:color w:val="auto"/>
                <w:sz w:val="25"/>
                <w:szCs w:val="25"/>
              </w:rPr>
              <w:t xml:space="preserve">Phạm vi cung cấp </w:t>
            </w:r>
          </w:p>
        </w:tc>
        <w:tc>
          <w:tcPr>
            <w:tcW w:w="4236" w:type="dxa"/>
            <w:vAlign w:val="center"/>
          </w:tcPr>
          <w:p w14:paraId="442D75D7">
            <w:pPr>
              <w:jc w:val="both"/>
              <w:rPr>
                <w:rFonts w:ascii="Times New Roman" w:hAnsi="Times New Roman"/>
                <w:i/>
                <w:iCs/>
                <w:color w:val="auto"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5"/>
                <w:szCs w:val="25"/>
              </w:rPr>
              <w:t>Phạm vi cung cấp theo Dự toán để lập HSMT</w:t>
            </w:r>
          </w:p>
        </w:tc>
        <w:tc>
          <w:tcPr>
            <w:tcW w:w="5162" w:type="dxa"/>
            <w:vAlign w:val="center"/>
          </w:tcPr>
          <w:p w14:paraId="442D75DB">
            <w:pPr>
              <w:jc w:val="both"/>
              <w:rPr>
                <w:rFonts w:ascii="Times New Roman" w:hAnsi="Times New Roman"/>
                <w:i/>
                <w:iCs/>
                <w:color w:val="auto"/>
                <w:sz w:val="25"/>
                <w:szCs w:val="25"/>
                <w:highlight w:val="yellow"/>
                <w:lang w:val="es-ES"/>
              </w:rPr>
            </w:pPr>
            <w:r>
              <w:rPr>
                <w:rFonts w:ascii="Times New Roman" w:hAnsi="Times New Roman"/>
                <w:color w:val="auto"/>
                <w:sz w:val="25"/>
                <w:szCs w:val="25"/>
                <w:lang w:val="es-ES"/>
              </w:rPr>
              <w:t>Hiệu chỉnh phạm vi cung cấp phù hợp với dự toán gói thầu được phê duyệt và thiết kế triển khai sau thiết kế cơ sở được phê duyệt: không bao gồm khối lượng dây dẫn AAC do nằm trong phạm vi gói thầu khác (chi tiết như E-HSMT kèm theo)</w:t>
            </w:r>
          </w:p>
        </w:tc>
        <w:tc>
          <w:tcPr>
            <w:tcW w:w="2913" w:type="dxa"/>
            <w:vAlign w:val="center"/>
          </w:tcPr>
          <w:p w14:paraId="442D75DC">
            <w:pPr>
              <w:pStyle w:val="17"/>
              <w:spacing w:before="60" w:after="0"/>
              <w:ind w:right="103"/>
              <w:jc w:val="both"/>
              <w:rPr>
                <w:color w:val="auto"/>
                <w:sz w:val="25"/>
                <w:szCs w:val="25"/>
                <w:highlight w:val="yellow"/>
                <w:lang w:val="es-ES"/>
              </w:rPr>
            </w:pPr>
            <w:r>
              <w:rPr>
                <w:color w:val="auto"/>
                <w:sz w:val="25"/>
                <w:szCs w:val="25"/>
                <w:lang w:val="es-ES"/>
              </w:rPr>
              <w:t>Phù hợp với thiết kế  triển khai sau thiết kế cơ sở và dự toán gói thầu được phê duyệt</w:t>
            </w:r>
          </w:p>
        </w:tc>
      </w:tr>
      <w:tr w14:paraId="442D75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741" w:type="dxa"/>
            <w:vAlign w:val="center"/>
          </w:tcPr>
          <w:p w14:paraId="442D75DE">
            <w:pPr>
              <w:jc w:val="center"/>
              <w:rPr>
                <w:rFonts w:ascii="Times New Roman" w:hAnsi="Times New Roman"/>
                <w:color w:val="auto"/>
                <w:sz w:val="25"/>
                <w:szCs w:val="25"/>
              </w:rPr>
            </w:pPr>
            <w:r>
              <w:rPr>
                <w:rFonts w:ascii="Times New Roman" w:hAnsi="Times New Roman"/>
                <w:color w:val="auto"/>
                <w:sz w:val="25"/>
                <w:szCs w:val="25"/>
              </w:rPr>
              <w:t>2</w:t>
            </w:r>
          </w:p>
        </w:tc>
        <w:tc>
          <w:tcPr>
            <w:tcW w:w="2153" w:type="dxa"/>
            <w:gridSpan w:val="2"/>
            <w:vAlign w:val="center"/>
          </w:tcPr>
          <w:p w14:paraId="442D75DF">
            <w:pPr>
              <w:jc w:val="both"/>
              <w:rPr>
                <w:rFonts w:ascii="Times New Roman" w:hAnsi="Times New Roman"/>
                <w:color w:val="auto"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5"/>
                <w:szCs w:val="25"/>
              </w:rPr>
              <w:t>Yêu cầu kỹ thuật và bảng điền cam kết kỹ thuật</w:t>
            </w:r>
          </w:p>
        </w:tc>
        <w:tc>
          <w:tcPr>
            <w:tcW w:w="4236" w:type="dxa"/>
            <w:vAlign w:val="center"/>
          </w:tcPr>
          <w:p w14:paraId="442D75E0">
            <w:pPr>
              <w:jc w:val="both"/>
              <w:rPr>
                <w:rFonts w:ascii="Times New Roman" w:hAnsi="Times New Roman"/>
                <w:color w:val="auto"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5"/>
                <w:szCs w:val="25"/>
              </w:rPr>
              <w:t>Theo HSMT đính kèm trên hệ thống mạng đấu thầu Quốc gia ngày 06/07/2025</w:t>
            </w:r>
          </w:p>
        </w:tc>
        <w:tc>
          <w:tcPr>
            <w:tcW w:w="5162" w:type="dxa"/>
            <w:vAlign w:val="center"/>
          </w:tcPr>
          <w:p w14:paraId="442D75E1">
            <w:pPr>
              <w:jc w:val="both"/>
              <w:rPr>
                <w:rFonts w:ascii="Times New Roman" w:hAnsi="Times New Roman"/>
                <w:color w:val="auto"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5"/>
                <w:szCs w:val="25"/>
              </w:rPr>
              <w:t xml:space="preserve">Hiệu chỉnh, sửa đổi yêu cầu kỹ thuật và bảng điền cam kết kỹ thuật phù hợp với thiết kế được phê duyệt: Cập nhật quy định chống sét van 220kV mới phù hợp với hồ sơ thiết kế được duyệt </w:t>
            </w:r>
            <w:r>
              <w:rPr>
                <w:rFonts w:ascii="Times New Roman" w:hAnsi="Times New Roman"/>
                <w:color w:val="auto"/>
                <w:sz w:val="25"/>
                <w:szCs w:val="25"/>
                <w:lang w:val="es-ES"/>
              </w:rPr>
              <w:t>(chi tiết như E-HSMT kèm theo)</w:t>
            </w:r>
          </w:p>
        </w:tc>
        <w:tc>
          <w:tcPr>
            <w:tcW w:w="2913" w:type="dxa"/>
            <w:vAlign w:val="center"/>
          </w:tcPr>
          <w:p w14:paraId="442D75E2">
            <w:pPr>
              <w:pStyle w:val="17"/>
              <w:spacing w:before="60" w:after="0"/>
              <w:ind w:right="103"/>
              <w:jc w:val="both"/>
              <w:rPr>
                <w:color w:val="auto"/>
                <w:sz w:val="25"/>
                <w:szCs w:val="25"/>
                <w:highlight w:val="yellow"/>
              </w:rPr>
            </w:pPr>
            <w:r>
              <w:rPr>
                <w:color w:val="auto"/>
                <w:sz w:val="25"/>
                <w:szCs w:val="25"/>
                <w:lang w:val="es-ES"/>
              </w:rPr>
              <w:t>Phù hợp với hồ sơ thiết kế triển khai sau thiết kế cơ sở được phê duyệt</w:t>
            </w:r>
          </w:p>
        </w:tc>
      </w:tr>
    </w:tbl>
    <w:p w14:paraId="442D75E4"/>
    <w:p w14:paraId="442D75E5"/>
    <w:p w14:paraId="442D75E6"/>
    <w:p w14:paraId="442D75E7">
      <w:pPr>
        <w:jc w:val="both"/>
      </w:pPr>
    </w:p>
    <w:p w14:paraId="442D75E8">
      <w:pPr>
        <w:jc w:val="both"/>
      </w:pPr>
    </w:p>
    <w:p w14:paraId="442D75E9">
      <w:pPr>
        <w:jc w:val="both"/>
      </w:pPr>
      <w:r>
        <w:rPr/>
        <w:br w:type="textWrapping" w:clear="all"/>
      </w:r>
    </w:p>
    <w:sectPr>
      <w:headerReference r:id="rId3" w:type="default"/>
      <w:pgSz w:w="16840" w:h="11907" w:orient="landscape"/>
      <w:pgMar w:top="851" w:right="907" w:bottom="794" w:left="907" w:header="794" w:footer="720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IDFont+F2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4014109"/>
    </w:sdtPr>
    <w:sdtContent>
      <w:p w14:paraId="442D75EA">
        <w:pPr>
          <w:pStyle w:val="1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2D75EB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525D2"/>
    <w:multiLevelType w:val="multilevel"/>
    <w:tmpl w:val="2DB525D2"/>
    <w:lvl w:ilvl="0" w:tentative="0">
      <w:start w:val="30"/>
      <w:numFmt w:val="bullet"/>
      <w:pStyle w:val="37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pStyle w:val="38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pStyle w:val="39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4A"/>
    <w:rsid w:val="0000469E"/>
    <w:rsid w:val="00016543"/>
    <w:rsid w:val="0003206E"/>
    <w:rsid w:val="00033333"/>
    <w:rsid w:val="00047272"/>
    <w:rsid w:val="00054E19"/>
    <w:rsid w:val="00063162"/>
    <w:rsid w:val="000823AA"/>
    <w:rsid w:val="0009380B"/>
    <w:rsid w:val="00093CAD"/>
    <w:rsid w:val="000A6F5A"/>
    <w:rsid w:val="000B6CE4"/>
    <w:rsid w:val="000E72C5"/>
    <w:rsid w:val="000F060E"/>
    <w:rsid w:val="00111F33"/>
    <w:rsid w:val="00117F5E"/>
    <w:rsid w:val="001312E2"/>
    <w:rsid w:val="001342AC"/>
    <w:rsid w:val="00141F19"/>
    <w:rsid w:val="00151BE1"/>
    <w:rsid w:val="001776E9"/>
    <w:rsid w:val="001926A5"/>
    <w:rsid w:val="001A7EEC"/>
    <w:rsid w:val="001B5BEA"/>
    <w:rsid w:val="001B7891"/>
    <w:rsid w:val="001C66CB"/>
    <w:rsid w:val="001D1E0E"/>
    <w:rsid w:val="001D358F"/>
    <w:rsid w:val="001D3872"/>
    <w:rsid w:val="001D5EFB"/>
    <w:rsid w:val="001D612E"/>
    <w:rsid w:val="001E616B"/>
    <w:rsid w:val="001F6BF2"/>
    <w:rsid w:val="00205620"/>
    <w:rsid w:val="00224EC0"/>
    <w:rsid w:val="00227517"/>
    <w:rsid w:val="002710AD"/>
    <w:rsid w:val="00294B11"/>
    <w:rsid w:val="002951FB"/>
    <w:rsid w:val="002C3DC2"/>
    <w:rsid w:val="002C3FDB"/>
    <w:rsid w:val="002D6BD1"/>
    <w:rsid w:val="002E6B8E"/>
    <w:rsid w:val="002E6F30"/>
    <w:rsid w:val="0030300C"/>
    <w:rsid w:val="00305630"/>
    <w:rsid w:val="00307815"/>
    <w:rsid w:val="00342DC5"/>
    <w:rsid w:val="00347F74"/>
    <w:rsid w:val="00374CF1"/>
    <w:rsid w:val="003826D1"/>
    <w:rsid w:val="0038454A"/>
    <w:rsid w:val="0039294E"/>
    <w:rsid w:val="003A2EB1"/>
    <w:rsid w:val="003A37C7"/>
    <w:rsid w:val="003A51A6"/>
    <w:rsid w:val="003F183A"/>
    <w:rsid w:val="003F3C01"/>
    <w:rsid w:val="003F50C5"/>
    <w:rsid w:val="00422587"/>
    <w:rsid w:val="004268F9"/>
    <w:rsid w:val="00434AF9"/>
    <w:rsid w:val="0044043F"/>
    <w:rsid w:val="0044052B"/>
    <w:rsid w:val="00440688"/>
    <w:rsid w:val="004A63E3"/>
    <w:rsid w:val="004B540B"/>
    <w:rsid w:val="004D421D"/>
    <w:rsid w:val="004F6D52"/>
    <w:rsid w:val="005025DF"/>
    <w:rsid w:val="00506ADF"/>
    <w:rsid w:val="005229AC"/>
    <w:rsid w:val="00571264"/>
    <w:rsid w:val="00575009"/>
    <w:rsid w:val="00587AF5"/>
    <w:rsid w:val="00597811"/>
    <w:rsid w:val="005C4EC9"/>
    <w:rsid w:val="00606716"/>
    <w:rsid w:val="006757ED"/>
    <w:rsid w:val="00680A20"/>
    <w:rsid w:val="00682631"/>
    <w:rsid w:val="00684179"/>
    <w:rsid w:val="006864FF"/>
    <w:rsid w:val="00696B66"/>
    <w:rsid w:val="006A3D37"/>
    <w:rsid w:val="006E6D30"/>
    <w:rsid w:val="006F6D3B"/>
    <w:rsid w:val="00716607"/>
    <w:rsid w:val="007B622D"/>
    <w:rsid w:val="007B6F65"/>
    <w:rsid w:val="007D622F"/>
    <w:rsid w:val="007E0398"/>
    <w:rsid w:val="007E26BF"/>
    <w:rsid w:val="007E476F"/>
    <w:rsid w:val="007F51B3"/>
    <w:rsid w:val="00800BE6"/>
    <w:rsid w:val="00802C14"/>
    <w:rsid w:val="0080692A"/>
    <w:rsid w:val="00821B23"/>
    <w:rsid w:val="00823C0F"/>
    <w:rsid w:val="008245A4"/>
    <w:rsid w:val="00842536"/>
    <w:rsid w:val="0084264D"/>
    <w:rsid w:val="00842BCC"/>
    <w:rsid w:val="00851306"/>
    <w:rsid w:val="008764F1"/>
    <w:rsid w:val="00891257"/>
    <w:rsid w:val="008A4C49"/>
    <w:rsid w:val="008B419C"/>
    <w:rsid w:val="008B49E1"/>
    <w:rsid w:val="008D1991"/>
    <w:rsid w:val="008D797F"/>
    <w:rsid w:val="0090156F"/>
    <w:rsid w:val="00904E43"/>
    <w:rsid w:val="00922CA4"/>
    <w:rsid w:val="00933A26"/>
    <w:rsid w:val="009535C6"/>
    <w:rsid w:val="009701AC"/>
    <w:rsid w:val="00996865"/>
    <w:rsid w:val="009B240B"/>
    <w:rsid w:val="009C06A1"/>
    <w:rsid w:val="009D0B9C"/>
    <w:rsid w:val="009D182C"/>
    <w:rsid w:val="009E578B"/>
    <w:rsid w:val="009F08D5"/>
    <w:rsid w:val="009F6066"/>
    <w:rsid w:val="00A02C0E"/>
    <w:rsid w:val="00A043D6"/>
    <w:rsid w:val="00A25B4F"/>
    <w:rsid w:val="00A3430B"/>
    <w:rsid w:val="00A34EDC"/>
    <w:rsid w:val="00A5547C"/>
    <w:rsid w:val="00A56E6F"/>
    <w:rsid w:val="00A70FDC"/>
    <w:rsid w:val="00A722D5"/>
    <w:rsid w:val="00A90E9F"/>
    <w:rsid w:val="00A9257A"/>
    <w:rsid w:val="00AA3D61"/>
    <w:rsid w:val="00AA7B8A"/>
    <w:rsid w:val="00AB487F"/>
    <w:rsid w:val="00AD4614"/>
    <w:rsid w:val="00AD6635"/>
    <w:rsid w:val="00AE7254"/>
    <w:rsid w:val="00B01946"/>
    <w:rsid w:val="00B12FD2"/>
    <w:rsid w:val="00B20988"/>
    <w:rsid w:val="00B45C40"/>
    <w:rsid w:val="00B53114"/>
    <w:rsid w:val="00B6562B"/>
    <w:rsid w:val="00B85572"/>
    <w:rsid w:val="00B85EC8"/>
    <w:rsid w:val="00B9251B"/>
    <w:rsid w:val="00BA1053"/>
    <w:rsid w:val="00BB4AC0"/>
    <w:rsid w:val="00BB6E7D"/>
    <w:rsid w:val="00BB786C"/>
    <w:rsid w:val="00BC0925"/>
    <w:rsid w:val="00BC3926"/>
    <w:rsid w:val="00BE049B"/>
    <w:rsid w:val="00BE0621"/>
    <w:rsid w:val="00BE28D1"/>
    <w:rsid w:val="00BE61A2"/>
    <w:rsid w:val="00BE6C4B"/>
    <w:rsid w:val="00BF0AEB"/>
    <w:rsid w:val="00BF203A"/>
    <w:rsid w:val="00C03629"/>
    <w:rsid w:val="00C541D0"/>
    <w:rsid w:val="00C5534A"/>
    <w:rsid w:val="00C66588"/>
    <w:rsid w:val="00C934F8"/>
    <w:rsid w:val="00C95B6A"/>
    <w:rsid w:val="00CA2386"/>
    <w:rsid w:val="00CD0695"/>
    <w:rsid w:val="00CF61B1"/>
    <w:rsid w:val="00D016C7"/>
    <w:rsid w:val="00D102E0"/>
    <w:rsid w:val="00D208B6"/>
    <w:rsid w:val="00D21CA9"/>
    <w:rsid w:val="00D23598"/>
    <w:rsid w:val="00D36BDD"/>
    <w:rsid w:val="00D36BFA"/>
    <w:rsid w:val="00D53C89"/>
    <w:rsid w:val="00D5476D"/>
    <w:rsid w:val="00D63AFD"/>
    <w:rsid w:val="00D6497F"/>
    <w:rsid w:val="00D90699"/>
    <w:rsid w:val="00DC6365"/>
    <w:rsid w:val="00E0460C"/>
    <w:rsid w:val="00E11679"/>
    <w:rsid w:val="00E20AFA"/>
    <w:rsid w:val="00E44139"/>
    <w:rsid w:val="00E55B04"/>
    <w:rsid w:val="00E57F4D"/>
    <w:rsid w:val="00E61704"/>
    <w:rsid w:val="00E650BB"/>
    <w:rsid w:val="00E729B9"/>
    <w:rsid w:val="00EA1FDF"/>
    <w:rsid w:val="00EB00EB"/>
    <w:rsid w:val="00EB458F"/>
    <w:rsid w:val="00ED713B"/>
    <w:rsid w:val="00EE4A20"/>
    <w:rsid w:val="00F16EEA"/>
    <w:rsid w:val="00F43A24"/>
    <w:rsid w:val="00F452D5"/>
    <w:rsid w:val="00F66CAB"/>
    <w:rsid w:val="00FA4DED"/>
    <w:rsid w:val="00FA5DF8"/>
    <w:rsid w:val="00FB509B"/>
    <w:rsid w:val="00FB71D1"/>
    <w:rsid w:val="00FD1374"/>
    <w:rsid w:val="00FD315D"/>
    <w:rsid w:val="00FD46E4"/>
    <w:rsid w:val="00FD76A5"/>
    <w:rsid w:val="04E07FB0"/>
    <w:rsid w:val="057F32C4"/>
    <w:rsid w:val="05B66C8F"/>
    <w:rsid w:val="0DAD4879"/>
    <w:rsid w:val="0E887A67"/>
    <w:rsid w:val="0FDD251E"/>
    <w:rsid w:val="10872C88"/>
    <w:rsid w:val="15AB6C23"/>
    <w:rsid w:val="189643A1"/>
    <w:rsid w:val="1AC518E9"/>
    <w:rsid w:val="1B76587A"/>
    <w:rsid w:val="20733BB2"/>
    <w:rsid w:val="21060383"/>
    <w:rsid w:val="211E09A7"/>
    <w:rsid w:val="23F15106"/>
    <w:rsid w:val="24010FEA"/>
    <w:rsid w:val="27B14F9E"/>
    <w:rsid w:val="28432A32"/>
    <w:rsid w:val="2AE412DF"/>
    <w:rsid w:val="2CFF4D7A"/>
    <w:rsid w:val="2D78486A"/>
    <w:rsid w:val="2D81372F"/>
    <w:rsid w:val="2DB105FB"/>
    <w:rsid w:val="2E552A02"/>
    <w:rsid w:val="31036AE0"/>
    <w:rsid w:val="31642534"/>
    <w:rsid w:val="3174292F"/>
    <w:rsid w:val="31C43082"/>
    <w:rsid w:val="34D80DC2"/>
    <w:rsid w:val="35324954"/>
    <w:rsid w:val="373A2684"/>
    <w:rsid w:val="38A91E6C"/>
    <w:rsid w:val="3D8634CA"/>
    <w:rsid w:val="3F4D0EE6"/>
    <w:rsid w:val="43A1101D"/>
    <w:rsid w:val="44535571"/>
    <w:rsid w:val="46832BA6"/>
    <w:rsid w:val="482E4477"/>
    <w:rsid w:val="48660E95"/>
    <w:rsid w:val="514B0A1E"/>
    <w:rsid w:val="51711289"/>
    <w:rsid w:val="59736C0E"/>
    <w:rsid w:val="59BB3F8C"/>
    <w:rsid w:val="5C8D4152"/>
    <w:rsid w:val="5C9662ED"/>
    <w:rsid w:val="5C9E5181"/>
    <w:rsid w:val="63BA4952"/>
    <w:rsid w:val="660B36CC"/>
    <w:rsid w:val="6B973A6A"/>
    <w:rsid w:val="6B9E0164"/>
    <w:rsid w:val="6C01543E"/>
    <w:rsid w:val="6C0A3231"/>
    <w:rsid w:val="70487D34"/>
    <w:rsid w:val="716F566F"/>
    <w:rsid w:val="73BB51EB"/>
    <w:rsid w:val="74C35ED1"/>
    <w:rsid w:val="763E6A8D"/>
    <w:rsid w:val="77D319A9"/>
    <w:rsid w:val="781C4E9C"/>
    <w:rsid w:val="79806B30"/>
    <w:rsid w:val="7B672A9B"/>
    <w:rsid w:val="7BE2764E"/>
    <w:rsid w:val="7D9E75A3"/>
    <w:rsid w:val="7E7A117B"/>
    <w:rsid w:val="7E9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0" w:semiHidden="0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8"/>
      <w:lang w:val="en-US" w:eastAsia="en-US" w:bidi="ar-SA"/>
    </w:rPr>
  </w:style>
  <w:style w:type="paragraph" w:styleId="2">
    <w:name w:val="heading 1"/>
    <w:basedOn w:val="1"/>
    <w:next w:val="1"/>
    <w:link w:val="20"/>
    <w:autoRedefine/>
    <w:qFormat/>
    <w:uiPriority w:val="0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3">
    <w:name w:val="heading 2"/>
    <w:basedOn w:val="1"/>
    <w:next w:val="1"/>
    <w:link w:val="21"/>
    <w:autoRedefine/>
    <w:unhideWhenUsed/>
    <w:qFormat/>
    <w:uiPriority w:val="0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paragraph" w:styleId="4">
    <w:name w:val="heading 3"/>
    <w:basedOn w:val="1"/>
    <w:next w:val="1"/>
    <w:link w:val="22"/>
    <w:autoRedefine/>
    <w:unhideWhenUsed/>
    <w:qFormat/>
    <w:uiPriority w:val="0"/>
    <w:pPr>
      <w:keepNext/>
      <w:keepLines/>
      <w:spacing w:before="120"/>
      <w:outlineLvl w:val="2"/>
    </w:pPr>
    <w:rPr>
      <w:rFonts w:eastAsiaTheme="majorEastAsia" w:cstheme="majorBidi"/>
      <w:b/>
      <w:i/>
      <w:szCs w:val="24"/>
    </w:rPr>
  </w:style>
  <w:style w:type="paragraph" w:styleId="5">
    <w:name w:val="heading 4"/>
    <w:basedOn w:val="1"/>
    <w:next w:val="1"/>
    <w:link w:val="23"/>
    <w:autoRedefine/>
    <w:unhideWhenUsed/>
    <w:qFormat/>
    <w:uiPriority w:val="9"/>
    <w:pPr>
      <w:keepNext/>
      <w:keepLines/>
      <w:spacing w:before="120"/>
      <w:outlineLvl w:val="3"/>
    </w:pPr>
    <w:rPr>
      <w:rFonts w:eastAsiaTheme="majorEastAsia" w:cstheme="majorBidi"/>
      <w:i/>
      <w:iCs/>
    </w:rPr>
  </w:style>
  <w:style w:type="paragraph" w:styleId="6">
    <w:name w:val="heading 5"/>
    <w:basedOn w:val="1"/>
    <w:next w:val="1"/>
    <w:link w:val="40"/>
    <w:unhideWhenUsed/>
    <w:qFormat/>
    <w:uiPriority w:val="0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44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8">
    <w:name w:val="heading 7"/>
    <w:basedOn w:val="1"/>
    <w:next w:val="1"/>
    <w:link w:val="24"/>
    <w:qFormat/>
    <w:uiPriority w:val="0"/>
    <w:pPr>
      <w:keepNext/>
      <w:jc w:val="center"/>
      <w:outlineLvl w:val="6"/>
    </w:pPr>
    <w:rPr>
      <w:b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27"/>
    <w:qFormat/>
    <w:uiPriority w:val="0"/>
  </w:style>
  <w:style w:type="paragraph" w:styleId="12">
    <w:name w:val="Body Text 2"/>
    <w:basedOn w:val="1"/>
    <w:link w:val="31"/>
    <w:qFormat/>
    <w:uiPriority w:val="0"/>
    <w:pPr>
      <w:spacing w:after="120" w:line="480" w:lineRule="auto"/>
    </w:pPr>
  </w:style>
  <w:style w:type="paragraph" w:styleId="13">
    <w:name w:val="Body Text Indent"/>
    <w:basedOn w:val="1"/>
    <w:link w:val="29"/>
    <w:qFormat/>
    <w:uiPriority w:val="0"/>
    <w:pPr>
      <w:jc w:val="both"/>
    </w:pPr>
    <w:rPr>
      <w:sz w:val="26"/>
    </w:rPr>
  </w:style>
  <w:style w:type="paragraph" w:styleId="14">
    <w:name w:val="footer"/>
    <w:basedOn w:val="1"/>
    <w:link w:val="35"/>
    <w:unhideWhenUsed/>
    <w:qFormat/>
    <w:uiPriority w:val="99"/>
    <w:pPr>
      <w:tabs>
        <w:tab w:val="center" w:pos="4680"/>
        <w:tab w:val="right" w:pos="9360"/>
      </w:tabs>
    </w:pPr>
  </w:style>
  <w:style w:type="paragraph" w:styleId="15">
    <w:name w:val="header"/>
    <w:basedOn w:val="1"/>
    <w:link w:val="34"/>
    <w:unhideWhenUsed/>
    <w:qFormat/>
    <w:uiPriority w:val="99"/>
    <w:pPr>
      <w:tabs>
        <w:tab w:val="center" w:pos="4680"/>
        <w:tab w:val="right" w:pos="9360"/>
      </w:tabs>
    </w:pPr>
  </w:style>
  <w:style w:type="character" w:styleId="16">
    <w:name w:val="Hyperlink"/>
    <w:qFormat/>
    <w:uiPriority w:val="99"/>
    <w:rPr>
      <w:color w:val="0000FF"/>
      <w:u w:val="single"/>
    </w:rPr>
  </w:style>
  <w:style w:type="paragraph" w:styleId="17">
    <w:name w:val="Normal (Web)"/>
    <w:basedOn w:val="1"/>
    <w:qFormat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18">
    <w:name w:val="Subtitle"/>
    <w:basedOn w:val="1"/>
    <w:link w:val="28"/>
    <w:qFormat/>
    <w:uiPriority w:val="0"/>
    <w:pPr>
      <w:spacing w:before="60" w:after="60"/>
    </w:pPr>
    <w:rPr>
      <w:rFonts w:ascii="Times New Roman" w:hAnsi="Times New Roman"/>
      <w:b/>
    </w:rPr>
  </w:style>
  <w:style w:type="table" w:styleId="19">
    <w:name w:val="Table Grid"/>
    <w:basedOn w:val="10"/>
    <w:qFormat/>
    <w:uiPriority w:val="59"/>
    <w:rPr>
      <w:rFonts w:ascii="Times New Roman" w:hAnsi="Times New Roman" w:eastAsia="Times New Roman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20">
    <w:name w:val="Heading 1 Char"/>
    <w:basedOn w:val="9"/>
    <w:link w:val="2"/>
    <w:qFormat/>
    <w:uiPriority w:val="9"/>
    <w:rPr>
      <w:rFonts w:ascii="Times New Roman" w:hAnsi="Times New Roman" w:eastAsiaTheme="majorEastAsia" w:cstheme="majorBidi"/>
      <w:b/>
      <w:sz w:val="26"/>
      <w:szCs w:val="32"/>
    </w:rPr>
  </w:style>
  <w:style w:type="character" w:customStyle="1" w:styleId="21">
    <w:name w:val="Heading 2 Char"/>
    <w:basedOn w:val="9"/>
    <w:link w:val="3"/>
    <w:semiHidden/>
    <w:qFormat/>
    <w:uiPriority w:val="9"/>
    <w:rPr>
      <w:rFonts w:ascii="Times New Roman" w:hAnsi="Times New Roman" w:eastAsiaTheme="majorEastAsia" w:cstheme="majorBidi"/>
      <w:b/>
      <w:sz w:val="26"/>
      <w:szCs w:val="26"/>
    </w:rPr>
  </w:style>
  <w:style w:type="character" w:customStyle="1" w:styleId="22">
    <w:name w:val="Heading 3 Char"/>
    <w:basedOn w:val="9"/>
    <w:link w:val="4"/>
    <w:qFormat/>
    <w:uiPriority w:val="0"/>
    <w:rPr>
      <w:rFonts w:ascii="Times New Roman" w:hAnsi="Times New Roman" w:eastAsiaTheme="majorEastAsia" w:cstheme="majorBidi"/>
      <w:b/>
      <w:i/>
      <w:sz w:val="26"/>
      <w:szCs w:val="24"/>
    </w:rPr>
  </w:style>
  <w:style w:type="character" w:customStyle="1" w:styleId="23">
    <w:name w:val="Heading 4 Char"/>
    <w:basedOn w:val="9"/>
    <w:link w:val="5"/>
    <w:qFormat/>
    <w:uiPriority w:val="9"/>
    <w:rPr>
      <w:rFonts w:ascii="Times New Roman" w:hAnsi="Times New Roman" w:eastAsiaTheme="majorEastAsia" w:cstheme="majorBidi"/>
      <w:i/>
      <w:iCs/>
      <w:sz w:val="26"/>
    </w:rPr>
  </w:style>
  <w:style w:type="character" w:customStyle="1" w:styleId="24">
    <w:name w:val="Heading 7 Char"/>
    <w:basedOn w:val="9"/>
    <w:link w:val="8"/>
    <w:qFormat/>
    <w:uiPriority w:val="0"/>
    <w:rPr>
      <w:rFonts w:ascii=".VnTime" w:hAnsi=".VnTime" w:eastAsia="Times New Roman" w:cs="Times New Roman"/>
      <w:b/>
      <w:sz w:val="28"/>
      <w:szCs w:val="20"/>
    </w:rPr>
  </w:style>
  <w:style w:type="character" w:customStyle="1" w:styleId="25">
    <w:name w:val="Body Text Char"/>
    <w:basedOn w:val="9"/>
    <w:semiHidden/>
    <w:qFormat/>
    <w:uiPriority w:val="99"/>
    <w:rPr>
      <w:rFonts w:ascii=".VnTime" w:hAnsi=".VnTime" w:eastAsia="Times New Roman" w:cs="Times New Roman"/>
      <w:sz w:val="28"/>
      <w:szCs w:val="20"/>
    </w:rPr>
  </w:style>
  <w:style w:type="character" w:customStyle="1" w:styleId="26">
    <w:name w:val="Body Text Indent Char"/>
    <w:basedOn w:val="9"/>
    <w:semiHidden/>
    <w:qFormat/>
    <w:uiPriority w:val="99"/>
    <w:rPr>
      <w:rFonts w:ascii=".VnTime" w:hAnsi=".VnTime" w:eastAsia="Times New Roman" w:cs="Times New Roman"/>
      <w:sz w:val="28"/>
      <w:szCs w:val="20"/>
    </w:rPr>
  </w:style>
  <w:style w:type="character" w:customStyle="1" w:styleId="27">
    <w:name w:val="Body Text Char1"/>
    <w:basedOn w:val="9"/>
    <w:link w:val="11"/>
    <w:qFormat/>
    <w:uiPriority w:val="0"/>
    <w:rPr>
      <w:rFonts w:ascii=".VnTime" w:hAnsi=".VnTime" w:eastAsia="Times New Roman" w:cs="Times New Roman"/>
      <w:sz w:val="28"/>
      <w:szCs w:val="20"/>
    </w:rPr>
  </w:style>
  <w:style w:type="character" w:customStyle="1" w:styleId="28">
    <w:name w:val="Subtitle Char"/>
    <w:basedOn w:val="9"/>
    <w:link w:val="18"/>
    <w:qFormat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29">
    <w:name w:val="Body Text Indent Char1"/>
    <w:basedOn w:val="9"/>
    <w:link w:val="13"/>
    <w:qFormat/>
    <w:uiPriority w:val="0"/>
    <w:rPr>
      <w:rFonts w:ascii=".VnTime" w:hAnsi=".VnTime" w:eastAsia="Times New Roman" w:cs="Times New Roman"/>
      <w:sz w:val="26"/>
      <w:szCs w:val="20"/>
    </w:rPr>
  </w:style>
  <w:style w:type="paragraph" w:customStyle="1" w:styleId="30">
    <w:name w:val="H4"/>
    <w:basedOn w:val="1"/>
    <w:next w:val="1"/>
    <w:qFormat/>
    <w:uiPriority w:val="0"/>
    <w:pPr>
      <w:keepNext/>
      <w:widowControl w:val="0"/>
      <w:spacing w:before="100" w:after="100"/>
      <w:outlineLvl w:val="4"/>
    </w:pPr>
    <w:rPr>
      <w:rFonts w:ascii="Times New Roman" w:hAnsi="Times New Roman"/>
      <w:b/>
      <w:snapToGrid w:val="0"/>
      <w:sz w:val="24"/>
    </w:rPr>
  </w:style>
  <w:style w:type="character" w:customStyle="1" w:styleId="31">
    <w:name w:val="Body Text 2 Char"/>
    <w:basedOn w:val="9"/>
    <w:link w:val="12"/>
    <w:qFormat/>
    <w:uiPriority w:val="0"/>
    <w:rPr>
      <w:rFonts w:ascii=".VnTime" w:hAnsi=".VnTime" w:eastAsia="Times New Roman" w:cs="Times New Roman"/>
      <w:sz w:val="28"/>
      <w:szCs w:val="20"/>
    </w:rPr>
  </w:style>
  <w:style w:type="paragraph" w:styleId="32">
    <w:name w:val="List Paragraph"/>
    <w:basedOn w:val="1"/>
    <w:link w:val="33"/>
    <w:qFormat/>
    <w:uiPriority w:val="34"/>
    <w:pPr>
      <w:ind w:left="720"/>
      <w:contextualSpacing/>
    </w:pPr>
  </w:style>
  <w:style w:type="character" w:customStyle="1" w:styleId="33">
    <w:name w:val="List Paragraph Char"/>
    <w:basedOn w:val="9"/>
    <w:link w:val="32"/>
    <w:qFormat/>
    <w:uiPriority w:val="34"/>
    <w:rPr>
      <w:rFonts w:ascii=".VnTime" w:hAnsi=".VnTime" w:eastAsia="Times New Roman" w:cs="Times New Roman"/>
      <w:sz w:val="28"/>
      <w:szCs w:val="20"/>
    </w:rPr>
  </w:style>
  <w:style w:type="character" w:customStyle="1" w:styleId="34">
    <w:name w:val="Header Char"/>
    <w:basedOn w:val="9"/>
    <w:link w:val="15"/>
    <w:qFormat/>
    <w:uiPriority w:val="99"/>
    <w:rPr>
      <w:rFonts w:ascii=".VnTime" w:hAnsi=".VnTime" w:eastAsia="Times New Roman" w:cs="Times New Roman"/>
      <w:sz w:val="28"/>
      <w:szCs w:val="20"/>
    </w:rPr>
  </w:style>
  <w:style w:type="character" w:customStyle="1" w:styleId="35">
    <w:name w:val="Footer Char"/>
    <w:basedOn w:val="9"/>
    <w:link w:val="14"/>
    <w:qFormat/>
    <w:uiPriority w:val="99"/>
    <w:rPr>
      <w:rFonts w:ascii=".VnTime" w:hAnsi=".VnTime" w:eastAsia="Times New Roman" w:cs="Times New Roman"/>
      <w:sz w:val="28"/>
      <w:szCs w:val="20"/>
    </w:rPr>
  </w:style>
  <w:style w:type="character" w:customStyle="1" w:styleId="36">
    <w:name w:val="fontstyle01"/>
    <w:qFormat/>
    <w:uiPriority w:val="0"/>
    <w:rPr>
      <w:rFonts w:hint="default" w:ascii="TimesNewRomanPS-ItalicMT" w:hAnsi="TimesNewRomanPS-ItalicMT"/>
      <w:i/>
      <w:iCs/>
      <w:color w:val="000000"/>
      <w:sz w:val="26"/>
      <w:szCs w:val="26"/>
    </w:rPr>
  </w:style>
  <w:style w:type="paragraph" w:customStyle="1" w:styleId="37">
    <w:name w:val="Spiegelstrich1"/>
    <w:basedOn w:val="1"/>
    <w:qFormat/>
    <w:uiPriority w:val="0"/>
    <w:pPr>
      <w:keepNext/>
      <w:keepLines/>
      <w:numPr>
        <w:ilvl w:val="0"/>
        <w:numId w:val="1"/>
      </w:numPr>
      <w:tabs>
        <w:tab w:val="left" w:pos="284"/>
      </w:tabs>
      <w:spacing w:before="60"/>
      <w:ind w:left="360"/>
      <w:jc w:val="both"/>
    </w:pPr>
    <w:rPr>
      <w:rFonts w:ascii="Arial" w:hAnsi="Arial"/>
      <w:sz w:val="22"/>
      <w:lang w:val="en-GB"/>
    </w:rPr>
  </w:style>
  <w:style w:type="paragraph" w:customStyle="1" w:styleId="38">
    <w:name w:val="Style Heading 3 + Violet"/>
    <w:basedOn w:val="4"/>
    <w:qFormat/>
    <w:uiPriority w:val="0"/>
    <w:pPr>
      <w:keepNext w:val="0"/>
      <w:keepLines w:val="0"/>
      <w:numPr>
        <w:ilvl w:val="2"/>
        <w:numId w:val="1"/>
      </w:numPr>
      <w:suppressAutoHyphens/>
      <w:spacing w:after="40"/>
      <w:ind w:left="720"/>
      <w:jc w:val="center"/>
    </w:pPr>
    <w:rPr>
      <w:rFonts w:ascii="Calibri" w:hAnsi="Calibri" w:eastAsia="Calibri" w:cs="Times New Roman"/>
      <w:bCs/>
      <w:i w:val="0"/>
      <w:color w:val="800080"/>
      <w:sz w:val="24"/>
      <w:szCs w:val="20"/>
      <w:lang w:val="zh-CN" w:eastAsia="zh-CN"/>
    </w:rPr>
  </w:style>
  <w:style w:type="paragraph" w:customStyle="1" w:styleId="39">
    <w:name w:val="Style Heading 5 + Before:  3 pt"/>
    <w:basedOn w:val="6"/>
    <w:qFormat/>
    <w:uiPriority w:val="0"/>
    <w:pPr>
      <w:keepNext w:val="0"/>
      <w:keepLines w:val="0"/>
      <w:numPr>
        <w:ilvl w:val="4"/>
        <w:numId w:val="1"/>
      </w:numPr>
      <w:tabs>
        <w:tab w:val="left" w:pos="1008"/>
      </w:tabs>
      <w:spacing w:before="60" w:after="60"/>
      <w:ind w:left="441"/>
    </w:pPr>
    <w:rPr>
      <w:rFonts w:ascii="Calibri" w:hAnsi="Calibri" w:eastAsia="Calibri" w:cs="Times New Roman"/>
      <w:b/>
      <w:bCs/>
      <w:i/>
      <w:iCs/>
      <w:color w:val="auto"/>
      <w:sz w:val="26"/>
      <w:lang w:val="zh-CN" w:eastAsia="zh-CN"/>
    </w:rPr>
  </w:style>
  <w:style w:type="character" w:customStyle="1" w:styleId="40">
    <w:name w:val="Heading 5 Char"/>
    <w:basedOn w:val="9"/>
    <w:link w:val="6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8"/>
      <w:szCs w:val="20"/>
    </w:rPr>
  </w:style>
  <w:style w:type="paragraph" w:customStyle="1" w:styleId="41">
    <w:name w:val="Style Heading 4 + Times New Roman 12 pt"/>
    <w:basedOn w:val="5"/>
    <w:qFormat/>
    <w:uiPriority w:val="0"/>
    <w:pPr>
      <w:keepNext w:val="0"/>
      <w:keepLines w:val="0"/>
      <w:tabs>
        <w:tab w:val="left" w:pos="851"/>
      </w:tabs>
      <w:spacing w:after="120"/>
      <w:ind w:left="851" w:hanging="851"/>
      <w:jc w:val="both"/>
    </w:pPr>
    <w:rPr>
      <w:rFonts w:ascii="Arial" w:hAnsi="Arial" w:eastAsia="Times New Roman" w:cs="Times New Roman"/>
      <w:b/>
      <w:i w:val="0"/>
      <w:iCs w:val="0"/>
      <w:sz w:val="24"/>
      <w:szCs w:val="24"/>
      <w:lang w:val="en-GB" w:eastAsia="zh-CN"/>
    </w:rPr>
  </w:style>
  <w:style w:type="paragraph" w:customStyle="1" w:styleId="42">
    <w:name w:val="Style Heading 6 + Times New Roman 12 pt"/>
    <w:basedOn w:val="7"/>
    <w:qFormat/>
    <w:uiPriority w:val="0"/>
    <w:pPr>
      <w:keepNext w:val="0"/>
      <w:keepLines w:val="0"/>
      <w:tabs>
        <w:tab w:val="left" w:pos="5103"/>
        <w:tab w:val="left" w:pos="7655"/>
      </w:tabs>
      <w:spacing w:before="120" w:after="120"/>
      <w:ind w:left="4320" w:hanging="180"/>
      <w:jc w:val="both"/>
    </w:pPr>
    <w:rPr>
      <w:rFonts w:ascii="Arial" w:hAnsi="Arial" w:eastAsia="Times New Roman" w:cs="Times New Roman"/>
      <w:color w:val="auto"/>
      <w:sz w:val="24"/>
      <w:szCs w:val="24"/>
      <w:lang w:val="en-GB" w:eastAsia="zh-CN"/>
    </w:rPr>
  </w:style>
  <w:style w:type="paragraph" w:customStyle="1" w:styleId="43">
    <w:name w:val="Style Heading 3 + Times New Roman 12 pt"/>
    <w:basedOn w:val="4"/>
    <w:qFormat/>
    <w:uiPriority w:val="0"/>
    <w:pPr>
      <w:keepLines w:val="0"/>
      <w:tabs>
        <w:tab w:val="left" w:pos="851"/>
        <w:tab w:val="left" w:pos="900"/>
      </w:tabs>
      <w:overflowPunct w:val="0"/>
      <w:autoSpaceDE w:val="0"/>
      <w:autoSpaceDN w:val="0"/>
      <w:adjustRightInd w:val="0"/>
      <w:spacing w:after="120"/>
      <w:ind w:left="851" w:right="57" w:hanging="851"/>
      <w:jc w:val="both"/>
      <w:textAlignment w:val="baseline"/>
    </w:pPr>
    <w:rPr>
      <w:rFonts w:ascii="Times New Roman" w:hAnsi="Times New Roman" w:eastAsia="Times New Roman" w:cs="Times New Roman"/>
      <w:i w:val="0"/>
      <w:sz w:val="24"/>
      <w:lang w:val="en-GB" w:eastAsia="zh-CN"/>
    </w:rPr>
  </w:style>
  <w:style w:type="character" w:customStyle="1" w:styleId="44">
    <w:name w:val="Heading 6 Char"/>
    <w:basedOn w:val="9"/>
    <w:link w:val="7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sz w:val="28"/>
      <w:szCs w:val="20"/>
    </w:rPr>
  </w:style>
  <w:style w:type="character" w:customStyle="1" w:styleId="45">
    <w:name w:val="fontstyle21"/>
    <w:qFormat/>
    <w:uiPriority w:val="0"/>
    <w:rPr>
      <w:rFonts w:hint="default" w:ascii="CIDFont+F2" w:hAnsi="CIDFont+F2"/>
      <w:b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871</Words>
  <Characters>4967</Characters>
  <Lines>41</Lines>
  <Paragraphs>11</Paragraphs>
  <TotalTime>19</TotalTime>
  <ScaleCrop>false</ScaleCrop>
  <LinksUpToDate>false</LinksUpToDate>
  <CharactersWithSpaces>5827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2025-07-17T04:19:00Z</dcterms:created>
  <dc:creator>Phùng Thị Hương Thảo (NPMB)</dc:creator>
  <cp:lastModifiedBy>huong thao phung</cp:lastModifiedBy>
  <dcterms:modified xsi:type="dcterms:W3CDTF">2025-07-18T06:46:21Z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E03A170E42624073AB9342972CB1271F_12</vt:lpwstr>
  </property>
</Properties>
</file>