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5E11" w14:textId="77777777" w:rsidR="0002357F" w:rsidRPr="0002357F" w:rsidRDefault="0002357F" w:rsidP="0002357F">
      <w:pPr>
        <w:widowControl w:val="0"/>
        <w:spacing w:before="120" w:after="120" w:line="264" w:lineRule="auto"/>
        <w:jc w:val="center"/>
        <w:outlineLvl w:val="1"/>
        <w:rPr>
          <w:sz w:val="28"/>
          <w:szCs w:val="28"/>
          <w:lang w:val="nl-NL"/>
        </w:rPr>
      </w:pPr>
      <w:bookmarkStart w:id="0" w:name="_Hlk193985226"/>
      <w:r w:rsidRPr="0002357F">
        <w:rPr>
          <w:b/>
          <w:sz w:val="28"/>
          <w:szCs w:val="28"/>
          <w:lang w:val="nl-NL"/>
        </w:rPr>
        <w:t>Chương V. YÊU CẦU VỀ KỸ THUẬT</w:t>
      </w:r>
    </w:p>
    <w:p w14:paraId="67E88EB6" w14:textId="77777777" w:rsidR="0002357F" w:rsidRPr="0002357F" w:rsidRDefault="0002357F" w:rsidP="0002357F">
      <w:pPr>
        <w:pStyle w:val="Subtitle"/>
        <w:rPr>
          <w:sz w:val="28"/>
          <w:szCs w:val="28"/>
          <w:lang w:val="nl-NL"/>
        </w:rPr>
      </w:pPr>
    </w:p>
    <w:p w14:paraId="5FB7C278" w14:textId="77777777" w:rsidR="0002357F" w:rsidRPr="0002357F" w:rsidRDefault="0002357F" w:rsidP="0002357F">
      <w:pPr>
        <w:pStyle w:val="SectionVIHeader"/>
        <w:widowControl w:val="0"/>
        <w:spacing w:after="120" w:line="264" w:lineRule="auto"/>
        <w:ind w:firstLine="709"/>
        <w:jc w:val="both"/>
        <w:rPr>
          <w:sz w:val="28"/>
          <w:szCs w:val="28"/>
          <w:lang w:val="nl-NL"/>
        </w:rPr>
      </w:pPr>
      <w:r w:rsidRPr="0002357F">
        <w:rPr>
          <w:sz w:val="28"/>
          <w:szCs w:val="28"/>
          <w:lang w:val="nl-NL"/>
        </w:rPr>
        <w:t>Mục 1. Yêu cầu về kỹ thuật</w:t>
      </w:r>
    </w:p>
    <w:p w14:paraId="27AC5415" w14:textId="77777777" w:rsidR="0002357F" w:rsidRPr="0002357F" w:rsidRDefault="0002357F" w:rsidP="0002357F">
      <w:pPr>
        <w:widowControl w:val="0"/>
        <w:spacing w:before="120" w:after="120" w:line="264" w:lineRule="auto"/>
        <w:ind w:firstLine="709"/>
        <w:rPr>
          <w:i/>
          <w:sz w:val="28"/>
          <w:szCs w:val="28"/>
          <w:lang w:val="nl-NL"/>
        </w:rPr>
      </w:pPr>
      <w:r w:rsidRPr="0002357F">
        <w:rPr>
          <w:i/>
          <w:sz w:val="28"/>
          <w:szCs w:val="28"/>
          <w:lang w:val="nl-NL"/>
        </w:rPr>
        <w:t xml:space="preserve">Yêu cầu về kỹ thuật bao gồm các nội dung cơ bản như sau: </w:t>
      </w:r>
    </w:p>
    <w:p w14:paraId="19225EFB" w14:textId="77777777" w:rsidR="0002357F" w:rsidRPr="0002357F" w:rsidRDefault="0002357F" w:rsidP="0002357F">
      <w:pPr>
        <w:widowControl w:val="0"/>
        <w:spacing w:before="120" w:after="120" w:line="264" w:lineRule="auto"/>
        <w:ind w:firstLine="709"/>
        <w:rPr>
          <w:b/>
          <w:i/>
          <w:sz w:val="28"/>
          <w:szCs w:val="28"/>
          <w:lang w:val="nl-NL"/>
        </w:rPr>
      </w:pPr>
      <w:r w:rsidRPr="0002357F">
        <w:rPr>
          <w:b/>
          <w:i/>
          <w:sz w:val="28"/>
          <w:szCs w:val="28"/>
          <w:lang w:val="nl-NL"/>
        </w:rPr>
        <w:t>1.1. Giới thiệu chung về dự án/</w:t>
      </w:r>
      <w:r w:rsidRPr="0002357F">
        <w:rPr>
          <w:b/>
          <w:i/>
          <w:sz w:val="28"/>
          <w:szCs w:val="28"/>
        </w:rPr>
        <w:t>dự toán mua sắm</w:t>
      </w:r>
      <w:r w:rsidRPr="0002357F">
        <w:rPr>
          <w:b/>
          <w:i/>
          <w:sz w:val="28"/>
          <w:szCs w:val="28"/>
          <w:lang w:val="nl-NL"/>
        </w:rPr>
        <w:t>, gói thầu</w:t>
      </w:r>
    </w:p>
    <w:p w14:paraId="56A2833F" w14:textId="77777777" w:rsidR="0002357F" w:rsidRPr="0002357F" w:rsidRDefault="0002357F" w:rsidP="0002357F">
      <w:pPr>
        <w:widowControl w:val="0"/>
        <w:spacing w:before="120" w:after="120" w:line="264" w:lineRule="auto"/>
        <w:ind w:firstLine="709"/>
        <w:rPr>
          <w:sz w:val="28"/>
          <w:szCs w:val="28"/>
          <w:lang w:val="nl-NL"/>
        </w:rPr>
      </w:pPr>
      <w:r w:rsidRPr="0002357F">
        <w:rPr>
          <w:sz w:val="28"/>
          <w:szCs w:val="28"/>
          <w:lang w:val="nl-NL"/>
        </w:rPr>
        <w:t>- Tên gói thầu: Mua giống bò sinh sản .</w:t>
      </w:r>
    </w:p>
    <w:p w14:paraId="3391ED57" w14:textId="77777777" w:rsidR="0002357F" w:rsidRPr="0002357F" w:rsidRDefault="0002357F" w:rsidP="0002357F">
      <w:pPr>
        <w:widowControl w:val="0"/>
        <w:spacing w:before="120" w:after="120" w:line="264" w:lineRule="auto"/>
        <w:ind w:firstLine="709"/>
        <w:rPr>
          <w:sz w:val="28"/>
          <w:szCs w:val="28"/>
          <w:lang w:val="nl-NL"/>
        </w:rPr>
      </w:pPr>
      <w:r w:rsidRPr="0002357F">
        <w:rPr>
          <w:sz w:val="28"/>
          <w:szCs w:val="28"/>
          <w:lang w:val="nl-NL"/>
        </w:rPr>
        <w:t>- Dự toán: Dự án “Chăn nuôi bò sinh sản” của nhóm cộng đồng Hội Nông dân, xã Thượng Nhật, thuộc Dự án 2,  Chương trình mục tiêu quốc gia giảm nghèo bền vững năm 2024.</w:t>
      </w:r>
    </w:p>
    <w:p w14:paraId="004AFA33" w14:textId="77777777" w:rsidR="0002357F" w:rsidRPr="0002357F" w:rsidRDefault="0002357F" w:rsidP="0002357F">
      <w:pPr>
        <w:widowControl w:val="0"/>
        <w:spacing w:before="120" w:after="120" w:line="264" w:lineRule="auto"/>
        <w:ind w:firstLine="709"/>
        <w:rPr>
          <w:sz w:val="28"/>
          <w:szCs w:val="28"/>
        </w:rPr>
      </w:pPr>
      <w:r w:rsidRPr="0002357F">
        <w:rPr>
          <w:sz w:val="28"/>
          <w:szCs w:val="28"/>
          <w:lang w:val="nl-NL"/>
        </w:rPr>
        <w:t xml:space="preserve">- Địa điểm thực hiện: </w:t>
      </w:r>
      <w:r w:rsidRPr="0002357F">
        <w:rPr>
          <w:sz w:val="28"/>
          <w:szCs w:val="28"/>
        </w:rPr>
        <w:t xml:space="preserve">Xã Thượng Nhật, huyện Phú Lộc </w:t>
      </w:r>
    </w:p>
    <w:p w14:paraId="576D36F7" w14:textId="77777777" w:rsidR="0002357F" w:rsidRPr="0002357F" w:rsidRDefault="0002357F" w:rsidP="0002357F">
      <w:pPr>
        <w:widowControl w:val="0"/>
        <w:spacing w:before="120" w:after="120" w:line="264" w:lineRule="auto"/>
        <w:ind w:firstLine="709"/>
        <w:rPr>
          <w:sz w:val="28"/>
          <w:szCs w:val="28"/>
          <w:lang w:val="nl-NL"/>
        </w:rPr>
      </w:pPr>
      <w:r w:rsidRPr="0002357F">
        <w:rPr>
          <w:sz w:val="28"/>
          <w:szCs w:val="28"/>
          <w:lang w:val="nl-NL"/>
        </w:rPr>
        <w:t>- Giá gói thầu: 286.000.000 đồng (Bằng chữ: Hai trăm tám mươi sáu triệu đồng chẵn).</w:t>
      </w:r>
    </w:p>
    <w:p w14:paraId="13E283AB" w14:textId="77777777" w:rsidR="0002357F" w:rsidRPr="0002357F" w:rsidRDefault="0002357F" w:rsidP="0002357F">
      <w:pPr>
        <w:widowControl w:val="0"/>
        <w:spacing w:before="120" w:after="120" w:line="264" w:lineRule="auto"/>
        <w:ind w:firstLine="709"/>
        <w:rPr>
          <w:sz w:val="28"/>
          <w:szCs w:val="28"/>
          <w:lang w:val="nl-NL"/>
        </w:rPr>
      </w:pPr>
      <w:r w:rsidRPr="0002357F">
        <w:rPr>
          <w:sz w:val="28"/>
          <w:szCs w:val="28"/>
          <w:lang w:val="nl-NL"/>
        </w:rPr>
        <w:t>Giá dự toán đã bao gồm đầy đủ các loại thuế/phí theo quy định của pháp luật hiện hành và các chi phí dịch vụ (vận chuyển, cài đặt, lắp đặt, đào tạo hướng dẫn sử dụng, bảo hành tại địa điểm thực hiện).</w:t>
      </w:r>
    </w:p>
    <w:p w14:paraId="73E1E221" w14:textId="77777777" w:rsidR="0002357F" w:rsidRPr="0002357F" w:rsidRDefault="0002357F" w:rsidP="0002357F">
      <w:pPr>
        <w:widowControl w:val="0"/>
        <w:spacing w:before="120" w:after="120" w:line="264" w:lineRule="auto"/>
        <w:ind w:firstLine="709"/>
        <w:rPr>
          <w:b/>
          <w:i/>
          <w:sz w:val="28"/>
          <w:szCs w:val="28"/>
          <w:lang w:val="nl-NL"/>
        </w:rPr>
      </w:pPr>
      <w:r w:rsidRPr="0002357F">
        <w:rPr>
          <w:b/>
          <w:i/>
          <w:sz w:val="28"/>
          <w:szCs w:val="28"/>
          <w:lang w:val="nl-NL"/>
        </w:rPr>
        <w:t>1.2. Yêu cầu về kỹ thuật</w:t>
      </w:r>
    </w:p>
    <w:p w14:paraId="3BACEFDE"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47AF66E"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a) Yêu cầu về kỹ thuật chung:</w:t>
      </w:r>
    </w:p>
    <w:p w14:paraId="2C4CD18C"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Doanh nghiệp phải có Công bố tiêu chuẩn chất lượng con giống</w:t>
      </w:r>
    </w:p>
    <w:p w14:paraId="1A0FBDCE"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w:t>
      </w:r>
      <w:r w:rsidRPr="0002357F">
        <w:rPr>
          <w:sz w:val="28"/>
          <w:szCs w:val="28"/>
        </w:rPr>
        <w:t xml:space="preserve"> </w:t>
      </w:r>
      <w:r w:rsidRPr="0002357F">
        <w:rPr>
          <w:i/>
          <w:spacing w:val="-2"/>
          <w:sz w:val="28"/>
          <w:szCs w:val="28"/>
          <w:lang w:val="nl-NL"/>
        </w:rPr>
        <w:t>Có giấy chứng nhận tiêm phòng 3 bệnh: Lở mồm long móng( Nhị typ), Tụ huyết trùng, Viêm da nổi cục, do Cơ quan chức năng của huyện cấp</w:t>
      </w:r>
    </w:p>
    <w:p w14:paraId="68F1486C"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Giống bò phải có nguồn gốc rõ ràng.</w:t>
      </w:r>
    </w:p>
    <w:p w14:paraId="0B74471B"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Kiểm tra sức khỏe trước khi cung cấp.</w:t>
      </w:r>
    </w:p>
    <w:p w14:paraId="06D8918E"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Tiêm phòng định kỳ: Giống bò cần được tiêm phòng định kỳ các loại bệnh theo lịch tiêm phòng của cơ quan thú y.</w:t>
      </w:r>
    </w:p>
    <w:p w14:paraId="3D54B7A6"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Vận chuyển bò giống: Khi vận chuyển giống bò, phải đảm bảo phương tiện vận chuyển đạt chuẩn (có giường nằm hoặc chỗ đứng thoải mái), tránh làm bò bị mệt mỏi, căng thẳng, đặc biệt trong điều kiện vận chuyển dài.</w:t>
      </w:r>
    </w:p>
    <w:p w14:paraId="76162495"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 Kiểm dịch thú y: Trước khi đưa bò giống ra ngoài khu vực chăn nuôi, phải có giấy chứng nhận kiểm dịch của cơ quan thú y để đảm bảo bò không mang bệnh, có thể chuyển đến nơi khác mà không gây nguy cơ dịch bệnh.</w:t>
      </w:r>
    </w:p>
    <w:p w14:paraId="4A865AB2"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t>b) Yêu cầu về kỹ thuật cụ thể:</w:t>
      </w:r>
    </w:p>
    <w:p w14:paraId="1F522E2A" w14:textId="77777777" w:rsidR="0002357F" w:rsidRPr="0002357F" w:rsidRDefault="0002357F" w:rsidP="0002357F">
      <w:pPr>
        <w:widowControl w:val="0"/>
        <w:spacing w:before="120" w:after="120" w:line="264" w:lineRule="auto"/>
        <w:ind w:firstLine="709"/>
        <w:rPr>
          <w:i/>
          <w:spacing w:val="-2"/>
          <w:sz w:val="28"/>
          <w:szCs w:val="28"/>
          <w:lang w:val="nl-NL"/>
        </w:rPr>
      </w:pPr>
      <w:r w:rsidRPr="0002357F">
        <w:rPr>
          <w:i/>
          <w:spacing w:val="-2"/>
          <w:sz w:val="28"/>
          <w:szCs w:val="28"/>
          <w:lang w:val="nl-NL"/>
        </w:rPr>
        <w:lastRenderedPageBreak/>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521"/>
      </w:tblGrid>
      <w:tr w:rsidR="0002357F" w:rsidRPr="0002357F" w14:paraId="1D1C3E18" w14:textId="77777777" w:rsidTr="00637AC2">
        <w:trPr>
          <w:trHeight w:val="899"/>
        </w:trPr>
        <w:tc>
          <w:tcPr>
            <w:tcW w:w="988" w:type="dxa"/>
            <w:shd w:val="clear" w:color="auto" w:fill="E2EFD9" w:themeFill="accent6" w:themeFillTint="33"/>
            <w:vAlign w:val="center"/>
          </w:tcPr>
          <w:p w14:paraId="2EC1D062" w14:textId="77777777" w:rsidR="0002357F" w:rsidRPr="0002357F" w:rsidRDefault="0002357F" w:rsidP="00637AC2">
            <w:pPr>
              <w:spacing w:before="120" w:after="120"/>
              <w:jc w:val="center"/>
              <w:rPr>
                <w:b/>
                <w:iCs/>
                <w:sz w:val="28"/>
                <w:szCs w:val="28"/>
              </w:rPr>
            </w:pPr>
            <w:r w:rsidRPr="0002357F">
              <w:rPr>
                <w:b/>
                <w:iCs/>
                <w:sz w:val="28"/>
                <w:szCs w:val="28"/>
              </w:rPr>
              <w:t>Hạng mục số</w:t>
            </w:r>
          </w:p>
        </w:tc>
        <w:tc>
          <w:tcPr>
            <w:tcW w:w="1842" w:type="dxa"/>
            <w:shd w:val="clear" w:color="auto" w:fill="E2EFD9" w:themeFill="accent6" w:themeFillTint="33"/>
            <w:vAlign w:val="center"/>
          </w:tcPr>
          <w:p w14:paraId="5C64123F" w14:textId="77777777" w:rsidR="0002357F" w:rsidRPr="0002357F" w:rsidRDefault="0002357F" w:rsidP="00637AC2">
            <w:pPr>
              <w:spacing w:before="120" w:after="120"/>
              <w:jc w:val="center"/>
              <w:rPr>
                <w:b/>
                <w:iCs/>
                <w:sz w:val="28"/>
                <w:szCs w:val="28"/>
              </w:rPr>
            </w:pPr>
            <w:r w:rsidRPr="0002357F">
              <w:rPr>
                <w:b/>
                <w:iCs/>
                <w:sz w:val="28"/>
                <w:szCs w:val="28"/>
              </w:rPr>
              <w:t>Tên hàng hóa/dịch vụ liên quan</w:t>
            </w:r>
          </w:p>
        </w:tc>
        <w:tc>
          <w:tcPr>
            <w:tcW w:w="6521" w:type="dxa"/>
            <w:shd w:val="clear" w:color="auto" w:fill="E2EFD9" w:themeFill="accent6" w:themeFillTint="33"/>
            <w:vAlign w:val="center"/>
          </w:tcPr>
          <w:p w14:paraId="061CE224" w14:textId="77777777" w:rsidR="0002357F" w:rsidRPr="0002357F" w:rsidRDefault="0002357F" w:rsidP="00637AC2">
            <w:pPr>
              <w:spacing w:before="120" w:after="120"/>
              <w:jc w:val="center"/>
              <w:rPr>
                <w:b/>
                <w:iCs/>
                <w:sz w:val="28"/>
                <w:szCs w:val="28"/>
              </w:rPr>
            </w:pPr>
            <w:r w:rsidRPr="0002357F">
              <w:rPr>
                <w:b/>
                <w:iCs/>
                <w:sz w:val="28"/>
                <w:szCs w:val="28"/>
              </w:rPr>
              <w:t>Thông số kỹ thuật và các tiêu chuẩn</w:t>
            </w:r>
          </w:p>
        </w:tc>
      </w:tr>
      <w:tr w:rsidR="0002357F" w:rsidRPr="0002357F" w14:paraId="62E8EFE6" w14:textId="77777777" w:rsidTr="00637AC2">
        <w:trPr>
          <w:trHeight w:val="918"/>
        </w:trPr>
        <w:tc>
          <w:tcPr>
            <w:tcW w:w="988" w:type="dxa"/>
            <w:vAlign w:val="center"/>
          </w:tcPr>
          <w:p w14:paraId="5F86EF57" w14:textId="77777777" w:rsidR="0002357F" w:rsidRPr="0002357F" w:rsidRDefault="0002357F" w:rsidP="00637AC2">
            <w:pPr>
              <w:spacing w:before="120" w:after="120"/>
              <w:jc w:val="center"/>
              <w:rPr>
                <w:i/>
                <w:iCs/>
                <w:sz w:val="28"/>
                <w:szCs w:val="28"/>
              </w:rPr>
            </w:pPr>
            <w:r w:rsidRPr="0002357F">
              <w:rPr>
                <w:i/>
                <w:iCs/>
                <w:sz w:val="28"/>
                <w:szCs w:val="28"/>
              </w:rPr>
              <w:t>1</w:t>
            </w:r>
          </w:p>
        </w:tc>
        <w:tc>
          <w:tcPr>
            <w:tcW w:w="1842" w:type="dxa"/>
            <w:vAlign w:val="center"/>
          </w:tcPr>
          <w:p w14:paraId="5698C787" w14:textId="77777777" w:rsidR="0002357F" w:rsidRPr="0002357F" w:rsidRDefault="0002357F" w:rsidP="00637AC2">
            <w:pPr>
              <w:spacing w:before="120" w:after="120"/>
              <w:jc w:val="center"/>
              <w:rPr>
                <w:i/>
                <w:iCs/>
                <w:sz w:val="28"/>
                <w:szCs w:val="28"/>
              </w:rPr>
            </w:pPr>
            <w:r w:rsidRPr="0002357F">
              <w:rPr>
                <w:i/>
                <w:iCs/>
                <w:sz w:val="28"/>
                <w:szCs w:val="28"/>
              </w:rPr>
              <w:t>Bò giống cái sinh sản</w:t>
            </w:r>
          </w:p>
        </w:tc>
        <w:tc>
          <w:tcPr>
            <w:tcW w:w="6521" w:type="dxa"/>
          </w:tcPr>
          <w:p w14:paraId="3E2B679A" w14:textId="77777777" w:rsidR="0002357F" w:rsidRPr="0002357F" w:rsidRDefault="0002357F" w:rsidP="00637AC2">
            <w:pPr>
              <w:spacing w:before="120" w:after="120"/>
              <w:jc w:val="left"/>
              <w:rPr>
                <w:i/>
                <w:iCs/>
                <w:sz w:val="28"/>
                <w:szCs w:val="28"/>
              </w:rPr>
            </w:pPr>
            <w:r w:rsidRPr="0002357F">
              <w:rPr>
                <w:i/>
                <w:iCs/>
                <w:sz w:val="28"/>
                <w:szCs w:val="28"/>
              </w:rPr>
              <w:t>- Loại giống: Bò vàng Việt Nam, ≥ 09 tháng tuổi</w:t>
            </w:r>
          </w:p>
          <w:p w14:paraId="22324574" w14:textId="77777777" w:rsidR="0002357F" w:rsidRPr="0002357F" w:rsidRDefault="0002357F" w:rsidP="00637AC2">
            <w:pPr>
              <w:spacing w:before="120" w:after="120"/>
              <w:jc w:val="left"/>
              <w:rPr>
                <w:i/>
                <w:iCs/>
                <w:sz w:val="28"/>
                <w:szCs w:val="28"/>
              </w:rPr>
            </w:pPr>
            <w:r w:rsidRPr="0002357F">
              <w:rPr>
                <w:i/>
                <w:iCs/>
                <w:sz w:val="28"/>
                <w:szCs w:val="28"/>
              </w:rPr>
              <w:t>- Trọng lượng con giống ≥ 120 (kg)</w:t>
            </w:r>
          </w:p>
          <w:p w14:paraId="7D9F4A0E" w14:textId="77777777" w:rsidR="0002357F" w:rsidRPr="0002357F" w:rsidRDefault="0002357F" w:rsidP="00637AC2">
            <w:pPr>
              <w:spacing w:before="120" w:after="120"/>
              <w:jc w:val="left"/>
              <w:rPr>
                <w:i/>
                <w:iCs/>
                <w:sz w:val="28"/>
                <w:szCs w:val="28"/>
              </w:rPr>
            </w:pPr>
            <w:r w:rsidRPr="0002357F">
              <w:rPr>
                <w:i/>
                <w:iCs/>
                <w:sz w:val="28"/>
                <w:szCs w:val="28"/>
              </w:rPr>
              <w:t>- Con giống có nguồn gốc xuất xứ rõ ràng, được kiểm tra, kiểm dịch, đã được tiêm phòng vắc xin đầy đủ theo quy định.</w:t>
            </w:r>
          </w:p>
        </w:tc>
      </w:tr>
    </w:tbl>
    <w:p w14:paraId="1D482B4A" w14:textId="77777777" w:rsidR="0002357F" w:rsidRPr="0002357F" w:rsidRDefault="0002357F" w:rsidP="0002357F">
      <w:pPr>
        <w:spacing w:before="120" w:after="120" w:line="264" w:lineRule="auto"/>
        <w:ind w:firstLine="709"/>
        <w:rPr>
          <w:b/>
          <w:i/>
          <w:sz w:val="28"/>
          <w:szCs w:val="28"/>
          <w:lang w:val="nl-NL"/>
        </w:rPr>
      </w:pPr>
      <w:r w:rsidRPr="0002357F">
        <w:rPr>
          <w:b/>
          <w:i/>
          <w:sz w:val="28"/>
          <w:szCs w:val="28"/>
          <w:lang w:val="nl-NL"/>
        </w:rPr>
        <w:t>1.3. Các yêu cầu khác</w:t>
      </w:r>
    </w:p>
    <w:p w14:paraId="74B17C76" w14:textId="77777777" w:rsidR="0002357F" w:rsidRPr="0002357F" w:rsidRDefault="0002357F" w:rsidP="0002357F">
      <w:pPr>
        <w:spacing w:before="120" w:after="120" w:line="264" w:lineRule="auto"/>
        <w:ind w:firstLine="709"/>
        <w:rPr>
          <w:i/>
          <w:sz w:val="28"/>
          <w:szCs w:val="28"/>
          <w:lang w:val="nl-NL"/>
        </w:rPr>
      </w:pPr>
      <w:r w:rsidRPr="0002357F">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w:t>
      </w:r>
    </w:p>
    <w:p w14:paraId="5800BF1D" w14:textId="77777777" w:rsidR="0002357F" w:rsidRPr="0002357F" w:rsidRDefault="0002357F" w:rsidP="0002357F">
      <w:pPr>
        <w:pStyle w:val="SectionVIHeader"/>
        <w:spacing w:after="120" w:line="264" w:lineRule="auto"/>
        <w:ind w:firstLine="709"/>
        <w:jc w:val="left"/>
        <w:rPr>
          <w:sz w:val="28"/>
          <w:szCs w:val="28"/>
          <w:lang w:val="nl-NL"/>
        </w:rPr>
      </w:pPr>
      <w:r w:rsidRPr="0002357F">
        <w:rPr>
          <w:sz w:val="28"/>
          <w:szCs w:val="28"/>
          <w:lang w:val="nl-NL"/>
        </w:rPr>
        <w:t>Mục 2. Bản vẽ</w:t>
      </w:r>
    </w:p>
    <w:p w14:paraId="2FB0AC4E" w14:textId="77777777" w:rsidR="0002357F" w:rsidRPr="0002357F" w:rsidRDefault="0002357F" w:rsidP="0002357F">
      <w:pPr>
        <w:spacing w:before="120" w:after="120" w:line="264" w:lineRule="auto"/>
        <w:ind w:firstLine="709"/>
        <w:rPr>
          <w:i/>
          <w:iCs/>
          <w:spacing w:val="-4"/>
          <w:sz w:val="28"/>
          <w:szCs w:val="28"/>
          <w:lang w:val="nl-NL"/>
        </w:rPr>
      </w:pPr>
      <w:r w:rsidRPr="0002357F">
        <w:rPr>
          <w:spacing w:val="-4"/>
          <w:sz w:val="28"/>
          <w:szCs w:val="28"/>
          <w:lang w:val="nl-NL"/>
        </w:rPr>
        <w:t>E-HSMT này gồm có các bản vẽ trong danh mục sau đây: Không có bản vẽ</w:t>
      </w:r>
    </w:p>
    <w:p w14:paraId="27CEEDFA" w14:textId="77777777" w:rsidR="0002357F" w:rsidRPr="0002357F" w:rsidRDefault="0002357F" w:rsidP="0002357F">
      <w:pPr>
        <w:pStyle w:val="SectionVIHeader"/>
        <w:widowControl w:val="0"/>
        <w:spacing w:after="120" w:line="264" w:lineRule="auto"/>
        <w:ind w:firstLine="709"/>
        <w:jc w:val="left"/>
        <w:rPr>
          <w:sz w:val="28"/>
          <w:szCs w:val="28"/>
        </w:rPr>
      </w:pPr>
      <w:r w:rsidRPr="0002357F">
        <w:rPr>
          <w:sz w:val="28"/>
          <w:szCs w:val="28"/>
        </w:rPr>
        <w:t>Mục 3. Kiểm tra và thử nghiệm</w:t>
      </w:r>
    </w:p>
    <w:p w14:paraId="488C47CB" w14:textId="77777777" w:rsidR="0002357F" w:rsidRPr="0002357F" w:rsidRDefault="0002357F" w:rsidP="0002357F">
      <w:pPr>
        <w:spacing w:after="200" w:line="276" w:lineRule="auto"/>
        <w:ind w:firstLine="709"/>
        <w:jc w:val="left"/>
        <w:rPr>
          <w:sz w:val="28"/>
          <w:szCs w:val="28"/>
        </w:rPr>
      </w:pPr>
      <w:r w:rsidRPr="0002357F">
        <w:rPr>
          <w:sz w:val="28"/>
          <w:szCs w:val="28"/>
        </w:rPr>
        <w:t xml:space="preserve">Các kiểm tra và thử nghiệm cần tiến hành gồm có: </w:t>
      </w:r>
    </w:p>
    <w:p w14:paraId="48AB0485" w14:textId="77777777" w:rsidR="0002357F" w:rsidRPr="0002357F" w:rsidRDefault="0002357F" w:rsidP="0002357F">
      <w:pPr>
        <w:spacing w:after="200" w:line="276" w:lineRule="auto"/>
        <w:ind w:firstLine="709"/>
        <w:jc w:val="left"/>
        <w:rPr>
          <w:sz w:val="28"/>
          <w:szCs w:val="28"/>
        </w:rPr>
      </w:pPr>
      <w:r w:rsidRPr="0002357F">
        <w:rPr>
          <w:sz w:val="28"/>
          <w:szCs w:val="28"/>
        </w:rPr>
        <w:t xml:space="preserve">- </w:t>
      </w:r>
      <w:r w:rsidRPr="0002357F">
        <w:rPr>
          <w:i/>
          <w:iCs/>
          <w:sz w:val="28"/>
          <w:szCs w:val="28"/>
        </w:rPr>
        <w:t>Bò giống cái sinh sản</w:t>
      </w:r>
      <w:bookmarkEnd w:id="0"/>
    </w:p>
    <w:p w14:paraId="124CE453" w14:textId="77777777" w:rsidR="0071466E" w:rsidRDefault="0071466E"/>
    <w:sectPr w:rsidR="0071466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7F"/>
    <w:rsid w:val="0002357F"/>
    <w:rsid w:val="002F6C45"/>
    <w:rsid w:val="00503FBC"/>
    <w:rsid w:val="0071466E"/>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48B0"/>
  <w15:chartTrackingRefBased/>
  <w15:docId w15:val="{75825CCA-87F0-406D-A1B5-338AE56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7F"/>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Subtitle">
    <w:name w:val="Subtitle"/>
    <w:basedOn w:val="Normal"/>
    <w:link w:val="SubtitleChar"/>
    <w:qFormat/>
    <w:rsid w:val="0002357F"/>
    <w:pPr>
      <w:jc w:val="center"/>
    </w:pPr>
    <w:rPr>
      <w:b/>
      <w:sz w:val="44"/>
    </w:rPr>
  </w:style>
  <w:style w:type="character" w:customStyle="1" w:styleId="SubtitleChar">
    <w:name w:val="Subtitle Char"/>
    <w:basedOn w:val="DefaultParagraphFont"/>
    <w:link w:val="Subtitle"/>
    <w:rsid w:val="0002357F"/>
    <w:rPr>
      <w:rFonts w:ascii="Times New Roman" w:eastAsia="Times New Roman" w:hAnsi="Times New Roman" w:cs="Times New Roman"/>
      <w:b/>
      <w:sz w:val="44"/>
      <w:szCs w:val="20"/>
    </w:rPr>
  </w:style>
  <w:style w:type="paragraph" w:customStyle="1" w:styleId="SectionVIHeader">
    <w:name w:val="Section VI. Header"/>
    <w:basedOn w:val="Normal"/>
    <w:rsid w:val="0002357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19CDXD11-LE QUANG DUNG</dc:creator>
  <cp:keywords/>
  <dc:description/>
  <cp:lastModifiedBy>19CDXD11-LE QUANG DUNG</cp:lastModifiedBy>
  <cp:revision>1</cp:revision>
  <dcterms:created xsi:type="dcterms:W3CDTF">2025-04-01T02:40:00Z</dcterms:created>
  <dcterms:modified xsi:type="dcterms:W3CDTF">2025-04-01T02:40:00Z</dcterms:modified>
</cp:coreProperties>
</file>