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828" w:rsidRPr="00A97828" w:rsidRDefault="00A97828" w:rsidP="00A97828">
      <w:pPr>
        <w:pStyle w:val="TOC1"/>
        <w:spacing w:line="264" w:lineRule="auto"/>
        <w:rPr>
          <w:rFonts w:ascii="Times New Roman" w:hAnsi="Times New Roman" w:cs="Times New Roman"/>
        </w:rPr>
      </w:pPr>
      <w:r w:rsidRPr="00A97828">
        <w:rPr>
          <w:rFonts w:ascii="Times New Roman" w:hAnsi="Times New Roman" w:cs="Times New Roman"/>
        </w:rPr>
        <w:t xml:space="preserve">Mục </w:t>
      </w:r>
      <w:r w:rsidRPr="00A97828">
        <w:rPr>
          <w:rFonts w:ascii="Times New Roman" w:hAnsi="Times New Roman" w:cs="Times New Roman"/>
          <w:lang w:val="pl-PL"/>
        </w:rPr>
        <w:t>3</w:t>
      </w:r>
      <w:r w:rsidRPr="00A97828">
        <w:rPr>
          <w:rFonts w:ascii="Times New Roman" w:hAnsi="Times New Roman" w:cs="Times New Roman"/>
        </w:rPr>
        <w:t>. Tiêu chuẩn đánh giá về kỹ thuật</w:t>
      </w:r>
    </w:p>
    <w:p w:rsidR="00A97828" w:rsidRPr="00A97828" w:rsidRDefault="00A97828" w:rsidP="00A97828">
      <w:pPr>
        <w:spacing w:before="80" w:after="80" w:line="264" w:lineRule="auto"/>
        <w:ind w:firstLine="709"/>
        <w:rPr>
          <w:sz w:val="28"/>
          <w:szCs w:val="28"/>
          <w:lang w:val="es-ES"/>
        </w:rPr>
      </w:pPr>
      <w:r w:rsidRPr="00A97828">
        <w:rPr>
          <w:b/>
          <w:iCs/>
          <w:sz w:val="28"/>
          <w:szCs w:val="28"/>
          <w:lang w:val="es-ES"/>
        </w:rPr>
        <w:t>3.1. Đánh giá theo phương pháp</w:t>
      </w:r>
      <w:r w:rsidRPr="00A97828" w:rsidDel="00BE4476">
        <w:rPr>
          <w:b/>
          <w:iCs/>
          <w:sz w:val="28"/>
          <w:szCs w:val="28"/>
          <w:lang w:val="es-ES"/>
        </w:rPr>
        <w:t xml:space="preserve"> </w:t>
      </w:r>
      <w:r w:rsidRPr="00A97828">
        <w:rPr>
          <w:b/>
          <w:iCs/>
          <w:sz w:val="28"/>
          <w:szCs w:val="28"/>
          <w:lang w:val="es-ES"/>
        </w:rPr>
        <w:t>đạt/không đạt</w:t>
      </w:r>
      <w:r w:rsidRPr="00A97828">
        <w:rPr>
          <w:b/>
          <w:sz w:val="28"/>
          <w:szCs w:val="28"/>
          <w:lang w:val="es-ES"/>
        </w:rPr>
        <w:t>:</w:t>
      </w:r>
    </w:p>
    <w:p w:rsidR="00A97828" w:rsidRPr="00A97828" w:rsidRDefault="00A97828" w:rsidP="00A97828">
      <w:pPr>
        <w:spacing w:before="80" w:after="80" w:line="264" w:lineRule="auto"/>
        <w:ind w:firstLine="709"/>
        <w:rPr>
          <w:sz w:val="28"/>
          <w:szCs w:val="28"/>
          <w:lang w:val="es-ES"/>
        </w:rPr>
      </w:pPr>
      <w:r w:rsidRPr="00A97828">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A97828" w:rsidRPr="00A97828" w:rsidRDefault="00A97828" w:rsidP="00A97828">
      <w:pPr>
        <w:spacing w:before="80" w:after="80" w:line="264" w:lineRule="auto"/>
        <w:ind w:firstLine="709"/>
        <w:rPr>
          <w:sz w:val="28"/>
          <w:szCs w:val="28"/>
          <w:lang w:val="es-ES"/>
        </w:rPr>
      </w:pPr>
      <w:r w:rsidRPr="00A97828">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A97828" w:rsidRPr="00A97828" w:rsidRDefault="00A97828" w:rsidP="00A97828">
      <w:pPr>
        <w:spacing w:before="80" w:after="80" w:line="264" w:lineRule="auto"/>
        <w:ind w:firstLine="709"/>
        <w:rPr>
          <w:sz w:val="28"/>
          <w:szCs w:val="28"/>
          <w:lang w:val="es-ES"/>
        </w:rPr>
      </w:pPr>
      <w:r w:rsidRPr="00A97828">
        <w:rPr>
          <w:sz w:val="28"/>
          <w:szCs w:val="28"/>
          <w:lang w:val="es-ES"/>
        </w:rPr>
        <w:t xml:space="preserve">E-HSDT được đánh giá là đáp ứng yêu cầu về kỹ thuật khi có tất cả các tiêu chí tổng quát đều được đánh giá là đạt. </w:t>
      </w:r>
    </w:p>
    <w:tbl>
      <w:tblPr>
        <w:tblW w:w="52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5412"/>
        <w:gridCol w:w="1751"/>
      </w:tblGrid>
      <w:tr w:rsidR="00A97828" w:rsidRPr="00A97828" w:rsidTr="002275A1">
        <w:tc>
          <w:tcPr>
            <w:tcW w:w="4106" w:type="pct"/>
            <w:gridSpan w:val="2"/>
            <w:shd w:val="clear" w:color="auto" w:fill="auto"/>
            <w:vAlign w:val="center"/>
            <w:hideMark/>
          </w:tcPr>
          <w:p w:rsidR="00A97828" w:rsidRPr="00A97828" w:rsidRDefault="00A97828" w:rsidP="002275A1">
            <w:pPr>
              <w:spacing w:before="60" w:after="60"/>
              <w:jc w:val="center"/>
              <w:rPr>
                <w:b/>
                <w:bCs/>
                <w:sz w:val="28"/>
                <w:szCs w:val="28"/>
              </w:rPr>
            </w:pPr>
            <w:r w:rsidRPr="00A97828">
              <w:rPr>
                <w:b/>
                <w:bCs/>
                <w:sz w:val="28"/>
                <w:szCs w:val="28"/>
              </w:rPr>
              <w:t>Nội dung đánh giá</w:t>
            </w:r>
          </w:p>
        </w:tc>
        <w:tc>
          <w:tcPr>
            <w:tcW w:w="894" w:type="pct"/>
            <w:shd w:val="clear" w:color="auto" w:fill="auto"/>
            <w:vAlign w:val="center"/>
            <w:hideMark/>
          </w:tcPr>
          <w:p w:rsidR="00A97828" w:rsidRPr="00A97828" w:rsidRDefault="00A97828" w:rsidP="002275A1">
            <w:pPr>
              <w:spacing w:before="60" w:after="60"/>
              <w:jc w:val="center"/>
              <w:rPr>
                <w:b/>
                <w:bCs/>
                <w:sz w:val="28"/>
                <w:szCs w:val="28"/>
              </w:rPr>
            </w:pPr>
            <w:r w:rsidRPr="00A97828">
              <w:rPr>
                <w:b/>
                <w:bCs/>
                <w:sz w:val="28"/>
                <w:szCs w:val="28"/>
              </w:rPr>
              <w:t>Sử dụng tiêu chí đạt / không đạt</w:t>
            </w:r>
          </w:p>
        </w:tc>
      </w:tr>
      <w:tr w:rsidR="00A97828" w:rsidRPr="00A97828" w:rsidTr="002275A1">
        <w:tc>
          <w:tcPr>
            <w:tcW w:w="5000" w:type="pct"/>
            <w:gridSpan w:val="3"/>
            <w:shd w:val="clear" w:color="auto" w:fill="auto"/>
            <w:vAlign w:val="center"/>
            <w:hideMark/>
          </w:tcPr>
          <w:p w:rsidR="00A97828" w:rsidRPr="00A97828" w:rsidRDefault="00A97828" w:rsidP="002275A1">
            <w:pPr>
              <w:spacing w:before="60" w:after="60"/>
              <w:rPr>
                <w:b/>
                <w:bCs/>
                <w:sz w:val="28"/>
                <w:szCs w:val="28"/>
              </w:rPr>
            </w:pPr>
            <w:r w:rsidRPr="00A97828">
              <w:rPr>
                <w:b/>
                <w:bCs/>
                <w:sz w:val="28"/>
                <w:szCs w:val="28"/>
              </w:rPr>
              <w:t>1. Đặc tính kỹ thuật của hàng hóa</w:t>
            </w:r>
          </w:p>
        </w:tc>
      </w:tr>
      <w:tr w:rsidR="00A97828" w:rsidRPr="00A97828" w:rsidTr="002275A1">
        <w:tc>
          <w:tcPr>
            <w:tcW w:w="1342" w:type="pct"/>
            <w:vMerge w:val="restart"/>
            <w:shd w:val="clear" w:color="auto" w:fill="auto"/>
            <w:vAlign w:val="center"/>
            <w:hideMark/>
          </w:tcPr>
          <w:p w:rsidR="00A97828" w:rsidRPr="00A97828" w:rsidRDefault="00A97828" w:rsidP="002275A1">
            <w:pPr>
              <w:spacing w:before="60" w:after="60"/>
              <w:rPr>
                <w:sz w:val="28"/>
                <w:szCs w:val="28"/>
              </w:rPr>
            </w:pPr>
            <w:r w:rsidRPr="00A97828">
              <w:rPr>
                <w:sz w:val="28"/>
                <w:szCs w:val="28"/>
              </w:rPr>
              <w:t>Đặc tính, thông số kỹ thuật của hàng hóa, tiêu chuẩn sản xuất, tiêu chuẩn chế tạo và công nghệ.</w:t>
            </w:r>
          </w:p>
        </w:tc>
        <w:tc>
          <w:tcPr>
            <w:tcW w:w="2764" w:type="pct"/>
            <w:shd w:val="clear" w:color="auto" w:fill="auto"/>
            <w:vAlign w:val="center"/>
            <w:hideMark/>
          </w:tcPr>
          <w:p w:rsidR="00A97828" w:rsidRPr="00A97828" w:rsidRDefault="00A97828" w:rsidP="002275A1">
            <w:pPr>
              <w:spacing w:before="60" w:after="60"/>
              <w:rPr>
                <w:sz w:val="28"/>
                <w:szCs w:val="28"/>
              </w:rPr>
            </w:pPr>
            <w:r w:rsidRPr="00A97828">
              <w:rPr>
                <w:sz w:val="28"/>
                <w:szCs w:val="28"/>
              </w:rPr>
              <w:t xml:space="preserve">Có đặc tính, thông số kỹ thuật của hàng hóa, tiêu chuẩn sản xuất, tiêu chuẩn chế tạo và công nghệ hoàn toàn phù hợp đáp ứng yêu cầu của E-HSMT. </w:t>
            </w:r>
          </w:p>
        </w:tc>
        <w:tc>
          <w:tcPr>
            <w:tcW w:w="894" w:type="pct"/>
            <w:shd w:val="clear" w:color="auto" w:fill="auto"/>
            <w:vAlign w:val="center"/>
            <w:hideMark/>
          </w:tcPr>
          <w:p w:rsidR="00A97828" w:rsidRPr="00A97828" w:rsidRDefault="00A97828" w:rsidP="002275A1">
            <w:pPr>
              <w:spacing w:before="60" w:after="60"/>
              <w:jc w:val="center"/>
              <w:rPr>
                <w:b/>
                <w:bCs/>
                <w:sz w:val="28"/>
                <w:szCs w:val="28"/>
              </w:rPr>
            </w:pPr>
            <w:r w:rsidRPr="00A97828">
              <w:rPr>
                <w:b/>
                <w:bCs/>
                <w:sz w:val="28"/>
                <w:szCs w:val="28"/>
              </w:rPr>
              <w:t>Đạt</w:t>
            </w:r>
          </w:p>
        </w:tc>
      </w:tr>
      <w:tr w:rsidR="00A97828" w:rsidRPr="00A97828" w:rsidTr="002275A1">
        <w:tc>
          <w:tcPr>
            <w:tcW w:w="1342" w:type="pct"/>
            <w:vMerge/>
            <w:vAlign w:val="center"/>
            <w:hideMark/>
          </w:tcPr>
          <w:p w:rsidR="00A97828" w:rsidRPr="00A97828" w:rsidRDefault="00A97828" w:rsidP="002275A1">
            <w:pPr>
              <w:spacing w:before="60" w:after="60"/>
              <w:jc w:val="left"/>
              <w:rPr>
                <w:sz w:val="28"/>
                <w:szCs w:val="28"/>
              </w:rPr>
            </w:pPr>
          </w:p>
        </w:tc>
        <w:tc>
          <w:tcPr>
            <w:tcW w:w="2764" w:type="pct"/>
            <w:shd w:val="clear" w:color="auto" w:fill="auto"/>
            <w:vAlign w:val="center"/>
            <w:hideMark/>
          </w:tcPr>
          <w:p w:rsidR="00A97828" w:rsidRPr="00A97828" w:rsidRDefault="00A97828" w:rsidP="002275A1">
            <w:pPr>
              <w:spacing w:before="60" w:after="60"/>
              <w:rPr>
                <w:sz w:val="28"/>
                <w:szCs w:val="28"/>
              </w:rPr>
            </w:pPr>
            <w:r w:rsidRPr="00A97828">
              <w:rPr>
                <w:sz w:val="28"/>
                <w:szCs w:val="28"/>
              </w:rPr>
              <w:t>Không có đặc tính, thông số kỹ thuật của hàng hóa, tiêu chuẩn sản xuất, tiêu chuẩn chế tạo và công nghệ phù hợp, đáp ứng yêu cầu của E-HSMT.</w:t>
            </w:r>
          </w:p>
        </w:tc>
        <w:tc>
          <w:tcPr>
            <w:tcW w:w="894" w:type="pct"/>
            <w:shd w:val="clear" w:color="auto" w:fill="auto"/>
            <w:vAlign w:val="center"/>
            <w:hideMark/>
          </w:tcPr>
          <w:p w:rsidR="00A97828" w:rsidRPr="00A97828" w:rsidRDefault="00A97828" w:rsidP="002275A1">
            <w:pPr>
              <w:spacing w:before="60" w:after="60"/>
              <w:jc w:val="center"/>
              <w:rPr>
                <w:b/>
                <w:bCs/>
                <w:sz w:val="28"/>
                <w:szCs w:val="28"/>
              </w:rPr>
            </w:pPr>
            <w:r w:rsidRPr="00A97828">
              <w:rPr>
                <w:b/>
                <w:bCs/>
                <w:sz w:val="28"/>
                <w:szCs w:val="28"/>
              </w:rPr>
              <w:t>Không đạt</w:t>
            </w:r>
          </w:p>
        </w:tc>
      </w:tr>
      <w:tr w:rsidR="00A97828" w:rsidRPr="00A97828" w:rsidTr="002275A1">
        <w:tc>
          <w:tcPr>
            <w:tcW w:w="5000" w:type="pct"/>
            <w:gridSpan w:val="3"/>
            <w:shd w:val="clear" w:color="auto" w:fill="auto"/>
            <w:vAlign w:val="center"/>
            <w:hideMark/>
          </w:tcPr>
          <w:p w:rsidR="00A97828" w:rsidRPr="00A97828" w:rsidRDefault="00A97828" w:rsidP="002275A1">
            <w:pPr>
              <w:spacing w:before="60" w:after="60"/>
              <w:rPr>
                <w:b/>
                <w:bCs/>
                <w:sz w:val="28"/>
                <w:szCs w:val="28"/>
              </w:rPr>
            </w:pPr>
            <w:r w:rsidRPr="00A97828">
              <w:rPr>
                <w:b/>
                <w:bCs/>
                <w:sz w:val="28"/>
                <w:szCs w:val="28"/>
              </w:rPr>
              <w:t>2. Tiêu chuẩn chất lượng hàng hóa</w:t>
            </w:r>
          </w:p>
        </w:tc>
      </w:tr>
      <w:tr w:rsidR="00A97828" w:rsidRPr="00A97828" w:rsidTr="002275A1">
        <w:tc>
          <w:tcPr>
            <w:tcW w:w="1342" w:type="pct"/>
            <w:vMerge w:val="restart"/>
            <w:shd w:val="clear" w:color="auto" w:fill="auto"/>
            <w:vAlign w:val="center"/>
            <w:hideMark/>
          </w:tcPr>
          <w:p w:rsidR="00A97828" w:rsidRPr="00A97828" w:rsidRDefault="00A97828" w:rsidP="002275A1">
            <w:pPr>
              <w:spacing w:before="60" w:after="60"/>
              <w:rPr>
                <w:sz w:val="28"/>
                <w:szCs w:val="28"/>
              </w:rPr>
            </w:pPr>
            <w:r w:rsidRPr="00A97828">
              <w:rPr>
                <w:sz w:val="28"/>
                <w:szCs w:val="28"/>
              </w:rPr>
              <w:t>Hàng hóa đã được sử dụng trên thị trường, đạt tiêu chuẩn chất lượng …</w:t>
            </w:r>
          </w:p>
        </w:tc>
        <w:tc>
          <w:tcPr>
            <w:tcW w:w="2764" w:type="pct"/>
            <w:shd w:val="clear" w:color="auto" w:fill="auto"/>
            <w:vAlign w:val="center"/>
            <w:hideMark/>
          </w:tcPr>
          <w:p w:rsidR="00A97828" w:rsidRPr="00A97828" w:rsidRDefault="00A97828" w:rsidP="002275A1">
            <w:pPr>
              <w:spacing w:before="60" w:after="60"/>
              <w:rPr>
                <w:sz w:val="28"/>
                <w:szCs w:val="28"/>
              </w:rPr>
            </w:pPr>
            <w:r w:rsidRPr="00A97828">
              <w:rPr>
                <w:sz w:val="28"/>
                <w:szCs w:val="28"/>
              </w:rPr>
              <w:t>Đáp ứng đầy đủ các yêu cầu:</w:t>
            </w:r>
          </w:p>
          <w:p w:rsidR="00A97828" w:rsidRPr="00A97828" w:rsidRDefault="00A97828" w:rsidP="002275A1">
            <w:pPr>
              <w:spacing w:before="60" w:after="60"/>
              <w:rPr>
                <w:sz w:val="28"/>
                <w:szCs w:val="28"/>
              </w:rPr>
            </w:pPr>
            <w:r w:rsidRPr="00A97828">
              <w:rPr>
                <w:sz w:val="28"/>
                <w:szCs w:val="28"/>
              </w:rPr>
              <w:t>- Có tài liệu chứng minh tủ lưu trữ đạt khả năng chịu tải 50kg/ngăn giá do đơn vị có chức năng và được cấp phép kiểm định.</w:t>
            </w:r>
          </w:p>
          <w:p w:rsidR="00A97828" w:rsidRPr="00A97828" w:rsidRDefault="00A97828" w:rsidP="002275A1">
            <w:pPr>
              <w:spacing w:before="60" w:after="60"/>
              <w:rPr>
                <w:sz w:val="28"/>
                <w:szCs w:val="28"/>
              </w:rPr>
            </w:pPr>
            <w:r w:rsidRPr="00A97828">
              <w:rPr>
                <w:sz w:val="28"/>
                <w:szCs w:val="28"/>
              </w:rPr>
              <w:t>- Cung cấp tài liệu để chứng minh sản phẩm sản xuất sử dụng loại sơn được đánh giá và phù hợp với các yêu cầu của quy chuẩn kỹ thuật quốc gia về giới hạn hàm lượng chì trong sơn.</w:t>
            </w:r>
          </w:p>
          <w:p w:rsidR="00A97828" w:rsidRPr="00A97828" w:rsidRDefault="00A97828" w:rsidP="002275A1">
            <w:pPr>
              <w:spacing w:before="60" w:after="60"/>
              <w:rPr>
                <w:sz w:val="28"/>
                <w:szCs w:val="28"/>
              </w:rPr>
            </w:pPr>
            <w:r w:rsidRPr="00A97828">
              <w:rPr>
                <w:sz w:val="28"/>
                <w:szCs w:val="28"/>
              </w:rPr>
              <w:lastRenderedPageBreak/>
              <w:t>- Nhà thầu phải có bản cam kết nếu trúng thầu thì bất kỳ sản phẩm nào do nhà thầu cung cấp mà Chủ đầu tư nghi ngờ về chất lượng thì Chủ đầu tư được quyền đem đi kiểm tra hay kiểm định, chi phí kiểm tra hay kiểm định do nhà thầu thanh toán (Nếu nhà thầu không có bản cam kết kèm theo thì xem như nhà thầu chưa đáp ứng yêu cầu của hồ sơ mời thầu và hồ sơ dự thầu của nhà thầu không được xem xét tiếp).</w:t>
            </w:r>
          </w:p>
          <w:p w:rsidR="00A97828" w:rsidRPr="00A97828" w:rsidRDefault="00A97828" w:rsidP="002275A1">
            <w:pPr>
              <w:spacing w:before="60" w:after="60"/>
              <w:rPr>
                <w:sz w:val="28"/>
                <w:szCs w:val="28"/>
              </w:rPr>
            </w:pPr>
            <w:r w:rsidRPr="00A97828">
              <w:rPr>
                <w:sz w:val="28"/>
                <w:szCs w:val="28"/>
              </w:rPr>
              <w:t>- Bản vẽ 3D về hệ thống tủ lưu trữ di động được Nhà thầu đề xuất dự thầu.</w:t>
            </w:r>
          </w:p>
          <w:p w:rsidR="00A97828" w:rsidRPr="00A97828" w:rsidRDefault="00A97828" w:rsidP="002275A1">
            <w:pPr>
              <w:spacing w:before="60" w:after="60"/>
              <w:rPr>
                <w:sz w:val="28"/>
                <w:szCs w:val="28"/>
              </w:rPr>
            </w:pPr>
            <w:r w:rsidRPr="00A97828">
              <w:rPr>
                <w:sz w:val="28"/>
                <w:szCs w:val="28"/>
              </w:rPr>
              <w:t>- Video demo giới thiệu về hệ thống tủ lưu trữ di động được Nhà thầu đề xuất dự thầu.</w:t>
            </w:r>
          </w:p>
          <w:p w:rsidR="00A97828" w:rsidRPr="00A97828" w:rsidRDefault="00A97828" w:rsidP="002275A1">
            <w:pPr>
              <w:spacing w:before="60" w:after="60"/>
              <w:rPr>
                <w:sz w:val="28"/>
                <w:szCs w:val="28"/>
              </w:rPr>
            </w:pPr>
            <w:r w:rsidRPr="00A97828">
              <w:rPr>
                <w:sz w:val="28"/>
                <w:szCs w:val="28"/>
              </w:rPr>
              <w:t>- Hàng hóa chào thầu phải là hàng hoá thiết bị mới 100% và phải được sản xuất từ năm 2024.</w:t>
            </w:r>
          </w:p>
        </w:tc>
        <w:tc>
          <w:tcPr>
            <w:tcW w:w="894" w:type="pct"/>
            <w:shd w:val="clear" w:color="auto" w:fill="auto"/>
            <w:vAlign w:val="center"/>
            <w:hideMark/>
          </w:tcPr>
          <w:p w:rsidR="00A97828" w:rsidRPr="00A97828" w:rsidRDefault="00A97828" w:rsidP="002275A1">
            <w:pPr>
              <w:spacing w:before="60" w:after="60"/>
              <w:jc w:val="center"/>
              <w:rPr>
                <w:b/>
                <w:bCs/>
                <w:sz w:val="28"/>
                <w:szCs w:val="28"/>
              </w:rPr>
            </w:pPr>
            <w:r w:rsidRPr="00A97828">
              <w:rPr>
                <w:b/>
                <w:bCs/>
                <w:sz w:val="28"/>
                <w:szCs w:val="28"/>
                <w:lang w:val="nl-NL"/>
              </w:rPr>
              <w:lastRenderedPageBreak/>
              <w:t>Đạt</w:t>
            </w:r>
          </w:p>
        </w:tc>
      </w:tr>
      <w:tr w:rsidR="00A97828" w:rsidRPr="00A97828" w:rsidTr="002275A1">
        <w:tc>
          <w:tcPr>
            <w:tcW w:w="1342" w:type="pct"/>
            <w:vMerge/>
            <w:vAlign w:val="center"/>
            <w:hideMark/>
          </w:tcPr>
          <w:p w:rsidR="00A97828" w:rsidRPr="00A97828" w:rsidRDefault="00A97828" w:rsidP="002275A1">
            <w:pPr>
              <w:spacing w:before="60" w:after="60"/>
              <w:jc w:val="left"/>
              <w:rPr>
                <w:sz w:val="28"/>
                <w:szCs w:val="28"/>
              </w:rPr>
            </w:pPr>
          </w:p>
        </w:tc>
        <w:tc>
          <w:tcPr>
            <w:tcW w:w="2764" w:type="pct"/>
            <w:shd w:val="clear" w:color="auto" w:fill="auto"/>
            <w:vAlign w:val="center"/>
            <w:hideMark/>
          </w:tcPr>
          <w:p w:rsidR="00A97828" w:rsidRPr="00A97828" w:rsidRDefault="00A97828" w:rsidP="002275A1">
            <w:pPr>
              <w:spacing w:before="60" w:after="60"/>
              <w:rPr>
                <w:sz w:val="28"/>
                <w:szCs w:val="28"/>
              </w:rPr>
            </w:pPr>
            <w:r w:rsidRPr="00A97828">
              <w:rPr>
                <w:sz w:val="28"/>
                <w:szCs w:val="28"/>
              </w:rPr>
              <w:t>Không đáp ứng toàn bộ hoặc một trong các yêu cầu nêu trên</w:t>
            </w:r>
          </w:p>
        </w:tc>
        <w:tc>
          <w:tcPr>
            <w:tcW w:w="894" w:type="pct"/>
            <w:shd w:val="clear" w:color="auto" w:fill="auto"/>
            <w:vAlign w:val="center"/>
            <w:hideMark/>
          </w:tcPr>
          <w:p w:rsidR="00A97828" w:rsidRPr="00A97828" w:rsidRDefault="00A97828" w:rsidP="002275A1">
            <w:pPr>
              <w:spacing w:before="60" w:after="60"/>
              <w:jc w:val="center"/>
              <w:rPr>
                <w:b/>
                <w:bCs/>
                <w:sz w:val="28"/>
                <w:szCs w:val="28"/>
              </w:rPr>
            </w:pPr>
            <w:r w:rsidRPr="00A97828">
              <w:rPr>
                <w:b/>
                <w:bCs/>
                <w:sz w:val="28"/>
                <w:szCs w:val="28"/>
                <w:lang w:val="nl-NL"/>
              </w:rPr>
              <w:t>Không đạt</w:t>
            </w:r>
          </w:p>
        </w:tc>
      </w:tr>
      <w:tr w:rsidR="00A97828" w:rsidRPr="00A97828" w:rsidTr="002275A1">
        <w:tc>
          <w:tcPr>
            <w:tcW w:w="5000" w:type="pct"/>
            <w:gridSpan w:val="3"/>
            <w:shd w:val="clear" w:color="auto" w:fill="auto"/>
            <w:vAlign w:val="center"/>
            <w:hideMark/>
          </w:tcPr>
          <w:p w:rsidR="00A97828" w:rsidRPr="00A97828" w:rsidRDefault="00A97828" w:rsidP="002275A1">
            <w:pPr>
              <w:spacing w:before="60" w:after="60"/>
              <w:rPr>
                <w:b/>
                <w:bCs/>
                <w:sz w:val="28"/>
                <w:szCs w:val="28"/>
              </w:rPr>
            </w:pPr>
            <w:r w:rsidRPr="00A97828">
              <w:rPr>
                <w:b/>
                <w:bCs/>
                <w:sz w:val="28"/>
                <w:szCs w:val="28"/>
              </w:rPr>
              <w:t>3. Thuyết minh thông số kỹ thuật, biện pháp tổ chức cung cấp, lắp đặt hàng hóa</w:t>
            </w:r>
          </w:p>
        </w:tc>
      </w:tr>
      <w:tr w:rsidR="00A97828" w:rsidRPr="00A97828" w:rsidTr="002275A1">
        <w:tc>
          <w:tcPr>
            <w:tcW w:w="1342" w:type="pct"/>
            <w:vMerge w:val="restart"/>
            <w:shd w:val="clear" w:color="auto" w:fill="auto"/>
            <w:vAlign w:val="center"/>
            <w:hideMark/>
          </w:tcPr>
          <w:p w:rsidR="00A97828" w:rsidRPr="00A97828" w:rsidRDefault="00A97828" w:rsidP="002275A1">
            <w:pPr>
              <w:spacing w:before="60" w:after="60"/>
              <w:rPr>
                <w:sz w:val="28"/>
                <w:szCs w:val="28"/>
              </w:rPr>
            </w:pPr>
            <w:r w:rsidRPr="00A97828">
              <w:rPr>
                <w:sz w:val="28"/>
                <w:szCs w:val="28"/>
              </w:rPr>
              <w:t>3.1. Giải pháp lựa chọn thiết bị</w:t>
            </w:r>
          </w:p>
        </w:tc>
        <w:tc>
          <w:tcPr>
            <w:tcW w:w="2764" w:type="pct"/>
            <w:shd w:val="clear" w:color="auto" w:fill="auto"/>
            <w:vAlign w:val="center"/>
            <w:hideMark/>
          </w:tcPr>
          <w:p w:rsidR="00A97828" w:rsidRPr="00A97828" w:rsidRDefault="00A97828" w:rsidP="002275A1">
            <w:pPr>
              <w:spacing w:before="60" w:after="60"/>
              <w:rPr>
                <w:sz w:val="28"/>
                <w:szCs w:val="28"/>
              </w:rPr>
            </w:pPr>
            <w:r w:rsidRPr="00A97828">
              <w:rPr>
                <w:sz w:val="28"/>
                <w:szCs w:val="28"/>
              </w:rPr>
              <w:t>Nhà thầu có đề xuất giải pháp lựa chọn thiết bị đầy đủ nội dung, cụ thể và chi tiết.</w:t>
            </w:r>
          </w:p>
        </w:tc>
        <w:tc>
          <w:tcPr>
            <w:tcW w:w="894" w:type="pct"/>
            <w:shd w:val="clear" w:color="auto" w:fill="auto"/>
            <w:vAlign w:val="center"/>
            <w:hideMark/>
          </w:tcPr>
          <w:p w:rsidR="00A97828" w:rsidRPr="00A97828" w:rsidRDefault="00A97828" w:rsidP="002275A1">
            <w:pPr>
              <w:spacing w:before="60" w:after="60"/>
              <w:jc w:val="center"/>
              <w:rPr>
                <w:b/>
                <w:bCs/>
                <w:sz w:val="28"/>
                <w:szCs w:val="28"/>
              </w:rPr>
            </w:pPr>
            <w:r w:rsidRPr="00A97828">
              <w:rPr>
                <w:b/>
                <w:bCs/>
                <w:sz w:val="28"/>
                <w:szCs w:val="28"/>
              </w:rPr>
              <w:t>Đạt</w:t>
            </w:r>
          </w:p>
        </w:tc>
      </w:tr>
      <w:tr w:rsidR="00A97828" w:rsidRPr="00A97828" w:rsidTr="002275A1">
        <w:tc>
          <w:tcPr>
            <w:tcW w:w="1342" w:type="pct"/>
            <w:vMerge/>
            <w:vAlign w:val="center"/>
            <w:hideMark/>
          </w:tcPr>
          <w:p w:rsidR="00A97828" w:rsidRPr="00A97828" w:rsidRDefault="00A97828" w:rsidP="002275A1">
            <w:pPr>
              <w:spacing w:before="60" w:after="60"/>
              <w:jc w:val="left"/>
              <w:rPr>
                <w:sz w:val="28"/>
                <w:szCs w:val="28"/>
              </w:rPr>
            </w:pPr>
          </w:p>
        </w:tc>
        <w:tc>
          <w:tcPr>
            <w:tcW w:w="2764" w:type="pct"/>
            <w:shd w:val="clear" w:color="auto" w:fill="auto"/>
            <w:vAlign w:val="center"/>
            <w:hideMark/>
          </w:tcPr>
          <w:p w:rsidR="00A97828" w:rsidRPr="00A97828" w:rsidRDefault="00A97828" w:rsidP="002275A1">
            <w:pPr>
              <w:spacing w:before="60" w:after="60"/>
              <w:rPr>
                <w:sz w:val="28"/>
                <w:szCs w:val="28"/>
              </w:rPr>
            </w:pPr>
            <w:r w:rsidRPr="00A97828">
              <w:rPr>
                <w:sz w:val="28"/>
                <w:szCs w:val="28"/>
              </w:rPr>
              <w:t>Nhà thầu không đề xuất giải pháp lựa chọn thiết bị hoặc có đề xuất nhưng không chi tiết hoặc không cụ thể hoặc không phù hợp với yêu cầu của E-HSMT.</w:t>
            </w:r>
          </w:p>
        </w:tc>
        <w:tc>
          <w:tcPr>
            <w:tcW w:w="894" w:type="pct"/>
            <w:shd w:val="clear" w:color="auto" w:fill="auto"/>
            <w:vAlign w:val="center"/>
            <w:hideMark/>
          </w:tcPr>
          <w:p w:rsidR="00A97828" w:rsidRPr="00A97828" w:rsidRDefault="00A97828" w:rsidP="002275A1">
            <w:pPr>
              <w:spacing w:before="60" w:after="60"/>
              <w:jc w:val="center"/>
              <w:rPr>
                <w:b/>
                <w:bCs/>
                <w:sz w:val="28"/>
                <w:szCs w:val="28"/>
              </w:rPr>
            </w:pPr>
            <w:r w:rsidRPr="00A97828">
              <w:rPr>
                <w:b/>
                <w:bCs/>
                <w:sz w:val="28"/>
                <w:szCs w:val="28"/>
              </w:rPr>
              <w:t>Không đạt</w:t>
            </w:r>
          </w:p>
        </w:tc>
      </w:tr>
      <w:tr w:rsidR="00A97828" w:rsidRPr="00A97828" w:rsidTr="002275A1">
        <w:tc>
          <w:tcPr>
            <w:tcW w:w="1342" w:type="pct"/>
            <w:vMerge w:val="restart"/>
            <w:shd w:val="clear" w:color="auto" w:fill="auto"/>
            <w:vAlign w:val="center"/>
            <w:hideMark/>
          </w:tcPr>
          <w:p w:rsidR="00A97828" w:rsidRPr="00A97828" w:rsidRDefault="00A97828" w:rsidP="002275A1">
            <w:pPr>
              <w:spacing w:before="60" w:after="60"/>
              <w:rPr>
                <w:sz w:val="28"/>
                <w:szCs w:val="28"/>
              </w:rPr>
            </w:pPr>
            <w:r w:rsidRPr="00A97828">
              <w:rPr>
                <w:sz w:val="28"/>
                <w:szCs w:val="28"/>
              </w:rPr>
              <w:t>3.2. Biện pháp tổ chức cung cấp, lắp đặt thiết bị</w:t>
            </w:r>
          </w:p>
        </w:tc>
        <w:tc>
          <w:tcPr>
            <w:tcW w:w="2764" w:type="pct"/>
            <w:shd w:val="clear" w:color="auto" w:fill="auto"/>
            <w:vAlign w:val="center"/>
            <w:hideMark/>
          </w:tcPr>
          <w:p w:rsidR="00A97828" w:rsidRPr="00A97828" w:rsidRDefault="00A97828" w:rsidP="002275A1">
            <w:pPr>
              <w:spacing w:before="60" w:after="60"/>
              <w:rPr>
                <w:sz w:val="28"/>
                <w:szCs w:val="28"/>
              </w:rPr>
            </w:pPr>
            <w:r w:rsidRPr="00A97828">
              <w:rPr>
                <w:sz w:val="28"/>
                <w:szCs w:val="28"/>
              </w:rPr>
              <w:t>Nhà thầu có đề xuất biện pháp tổ chức cung cấp, lắp đặt thiết bị chi tiết, phù hợp với tính chất công việc của gói thầu, khả thi trong thực tế và đáp ứng yêu cầu của E-HSMT.</w:t>
            </w:r>
          </w:p>
        </w:tc>
        <w:tc>
          <w:tcPr>
            <w:tcW w:w="894" w:type="pct"/>
            <w:shd w:val="clear" w:color="auto" w:fill="auto"/>
            <w:vAlign w:val="center"/>
            <w:hideMark/>
          </w:tcPr>
          <w:p w:rsidR="00A97828" w:rsidRPr="00A97828" w:rsidRDefault="00A97828" w:rsidP="002275A1">
            <w:pPr>
              <w:spacing w:before="60" w:after="60"/>
              <w:jc w:val="center"/>
              <w:rPr>
                <w:b/>
                <w:bCs/>
                <w:sz w:val="28"/>
                <w:szCs w:val="28"/>
              </w:rPr>
            </w:pPr>
            <w:r w:rsidRPr="00A97828">
              <w:rPr>
                <w:b/>
                <w:bCs/>
                <w:sz w:val="28"/>
                <w:szCs w:val="28"/>
              </w:rPr>
              <w:t>Đạt</w:t>
            </w:r>
          </w:p>
        </w:tc>
      </w:tr>
      <w:tr w:rsidR="00A97828" w:rsidRPr="00A97828" w:rsidTr="002275A1">
        <w:tc>
          <w:tcPr>
            <w:tcW w:w="1342" w:type="pct"/>
            <w:vMerge/>
            <w:vAlign w:val="center"/>
            <w:hideMark/>
          </w:tcPr>
          <w:p w:rsidR="00A97828" w:rsidRPr="00A97828" w:rsidRDefault="00A97828" w:rsidP="002275A1">
            <w:pPr>
              <w:spacing w:before="60" w:after="60"/>
              <w:jc w:val="left"/>
              <w:rPr>
                <w:sz w:val="28"/>
                <w:szCs w:val="28"/>
              </w:rPr>
            </w:pPr>
          </w:p>
        </w:tc>
        <w:tc>
          <w:tcPr>
            <w:tcW w:w="2764" w:type="pct"/>
            <w:shd w:val="clear" w:color="auto" w:fill="auto"/>
            <w:vAlign w:val="center"/>
            <w:hideMark/>
          </w:tcPr>
          <w:p w:rsidR="00A97828" w:rsidRPr="00A97828" w:rsidRDefault="00A97828" w:rsidP="002275A1">
            <w:pPr>
              <w:spacing w:before="60" w:after="60"/>
              <w:rPr>
                <w:sz w:val="28"/>
                <w:szCs w:val="28"/>
              </w:rPr>
            </w:pPr>
            <w:r w:rsidRPr="00A97828">
              <w:rPr>
                <w:sz w:val="28"/>
                <w:szCs w:val="28"/>
              </w:rPr>
              <w:t>Nhà thầu không đề xuất biện pháp tổ chức cung cấp, lắp đặt thiết bị hoặc có đề xuất nhưng không chi tiết hoặc không phù hợp với tính chất công việc của gói thầu hoặc không khả thi trong thực tế hoặc không phù hợp với tiến độ thi công và bố trí nhân sự thực hiện gói thầu.</w:t>
            </w:r>
          </w:p>
        </w:tc>
        <w:tc>
          <w:tcPr>
            <w:tcW w:w="894" w:type="pct"/>
            <w:shd w:val="clear" w:color="auto" w:fill="auto"/>
            <w:vAlign w:val="center"/>
            <w:hideMark/>
          </w:tcPr>
          <w:p w:rsidR="00A97828" w:rsidRPr="00A97828" w:rsidRDefault="00A97828" w:rsidP="002275A1">
            <w:pPr>
              <w:spacing w:before="60" w:after="60"/>
              <w:jc w:val="center"/>
              <w:rPr>
                <w:b/>
                <w:bCs/>
                <w:sz w:val="28"/>
                <w:szCs w:val="28"/>
              </w:rPr>
            </w:pPr>
            <w:r w:rsidRPr="00A97828">
              <w:rPr>
                <w:b/>
                <w:bCs/>
                <w:sz w:val="28"/>
                <w:szCs w:val="28"/>
              </w:rPr>
              <w:t>Không đạt</w:t>
            </w:r>
          </w:p>
        </w:tc>
      </w:tr>
      <w:tr w:rsidR="00A97828" w:rsidRPr="00A97828" w:rsidTr="002275A1">
        <w:tc>
          <w:tcPr>
            <w:tcW w:w="5000" w:type="pct"/>
            <w:gridSpan w:val="3"/>
            <w:shd w:val="clear" w:color="auto" w:fill="auto"/>
            <w:vAlign w:val="center"/>
            <w:hideMark/>
          </w:tcPr>
          <w:p w:rsidR="00A97828" w:rsidRPr="00A97828" w:rsidRDefault="00A97828" w:rsidP="002275A1">
            <w:pPr>
              <w:spacing w:before="60" w:after="60"/>
              <w:rPr>
                <w:b/>
                <w:bCs/>
                <w:sz w:val="28"/>
                <w:szCs w:val="28"/>
              </w:rPr>
            </w:pPr>
            <w:r w:rsidRPr="00A97828">
              <w:rPr>
                <w:b/>
                <w:bCs/>
                <w:sz w:val="28"/>
                <w:szCs w:val="28"/>
              </w:rPr>
              <w:t>4. Tiến độ thực hiện hợp đồng</w:t>
            </w:r>
          </w:p>
        </w:tc>
      </w:tr>
      <w:tr w:rsidR="00A97828" w:rsidRPr="00A97828" w:rsidTr="002275A1">
        <w:tc>
          <w:tcPr>
            <w:tcW w:w="1342" w:type="pct"/>
            <w:vMerge w:val="restart"/>
            <w:shd w:val="clear" w:color="auto" w:fill="auto"/>
            <w:vAlign w:val="center"/>
            <w:hideMark/>
          </w:tcPr>
          <w:p w:rsidR="00A97828" w:rsidRPr="00A97828" w:rsidRDefault="00A97828" w:rsidP="002275A1">
            <w:pPr>
              <w:spacing w:before="60" w:after="60"/>
              <w:rPr>
                <w:sz w:val="28"/>
                <w:szCs w:val="28"/>
              </w:rPr>
            </w:pPr>
            <w:r w:rsidRPr="00A97828">
              <w:rPr>
                <w:sz w:val="28"/>
                <w:szCs w:val="28"/>
              </w:rPr>
              <w:lastRenderedPageBreak/>
              <w:t>Tiến độ thực hiện hợp đồng (gồm tiến độ cung cấp và tiến độ lắp đặt hàng hóa, thiết bị) phù hợp, khả thi và đáp ứng yêu cầu của E-HSMT.</w:t>
            </w:r>
          </w:p>
        </w:tc>
        <w:tc>
          <w:tcPr>
            <w:tcW w:w="2764" w:type="pct"/>
            <w:shd w:val="clear" w:color="auto" w:fill="auto"/>
            <w:vAlign w:val="center"/>
            <w:hideMark/>
          </w:tcPr>
          <w:p w:rsidR="00A97828" w:rsidRPr="00A97828" w:rsidRDefault="00A97828" w:rsidP="002275A1">
            <w:pPr>
              <w:spacing w:before="60" w:after="60"/>
              <w:rPr>
                <w:sz w:val="28"/>
                <w:szCs w:val="28"/>
              </w:rPr>
            </w:pPr>
            <w:r w:rsidRPr="00A97828">
              <w:rPr>
                <w:sz w:val="28"/>
                <w:szCs w:val="28"/>
              </w:rPr>
              <w:t>Nhà thầu có đề xuất tiến độ thực hiện hợp đồng (gồm tiến độ cung cấp và tiến độ lắp đặt thiết bị). Có Bảng tiến độ cung cấp hàng hóa hợp lý, khả thi và phù hợp với Biện pháp tổ chức cung cấp, lắp đặt thiết bị, khả thi trong điều kiện thực tế và đáp ứng yêu cầu của E-HSMT.</w:t>
            </w:r>
          </w:p>
        </w:tc>
        <w:tc>
          <w:tcPr>
            <w:tcW w:w="894" w:type="pct"/>
            <w:shd w:val="clear" w:color="auto" w:fill="auto"/>
            <w:vAlign w:val="center"/>
            <w:hideMark/>
          </w:tcPr>
          <w:p w:rsidR="00A97828" w:rsidRPr="00A97828" w:rsidRDefault="00A97828" w:rsidP="002275A1">
            <w:pPr>
              <w:spacing w:before="60" w:after="60"/>
              <w:jc w:val="center"/>
              <w:rPr>
                <w:b/>
                <w:bCs/>
                <w:sz w:val="28"/>
                <w:szCs w:val="28"/>
              </w:rPr>
            </w:pPr>
            <w:r w:rsidRPr="00A97828">
              <w:rPr>
                <w:b/>
                <w:bCs/>
                <w:sz w:val="28"/>
                <w:szCs w:val="28"/>
              </w:rPr>
              <w:t>Đạt</w:t>
            </w:r>
          </w:p>
        </w:tc>
      </w:tr>
      <w:tr w:rsidR="00A97828" w:rsidRPr="00A97828" w:rsidTr="002275A1">
        <w:tc>
          <w:tcPr>
            <w:tcW w:w="1342" w:type="pct"/>
            <w:vMerge/>
            <w:vAlign w:val="center"/>
            <w:hideMark/>
          </w:tcPr>
          <w:p w:rsidR="00A97828" w:rsidRPr="00A97828" w:rsidRDefault="00A97828" w:rsidP="002275A1">
            <w:pPr>
              <w:spacing w:before="60" w:after="60"/>
              <w:jc w:val="left"/>
              <w:rPr>
                <w:sz w:val="28"/>
                <w:szCs w:val="28"/>
              </w:rPr>
            </w:pPr>
          </w:p>
        </w:tc>
        <w:tc>
          <w:tcPr>
            <w:tcW w:w="2764" w:type="pct"/>
            <w:shd w:val="clear" w:color="auto" w:fill="auto"/>
            <w:vAlign w:val="center"/>
            <w:hideMark/>
          </w:tcPr>
          <w:p w:rsidR="00A97828" w:rsidRPr="00A97828" w:rsidRDefault="00A97828" w:rsidP="002275A1">
            <w:pPr>
              <w:spacing w:before="60" w:after="60"/>
              <w:rPr>
                <w:sz w:val="28"/>
                <w:szCs w:val="28"/>
              </w:rPr>
            </w:pPr>
            <w:r w:rsidRPr="00A97828">
              <w:rPr>
                <w:sz w:val="28"/>
                <w:szCs w:val="28"/>
              </w:rPr>
              <w:t>Không đề xuất tiến độ thực hiện hợp đồng (gồm tiến độ cung cấp và tiến độ lắp đặt thiết bị).  Không có Bảng tiến độ cung cấp hàng hóa hoặc có nhưng không hợp lý, không khả thi, không phù hợp với Biện pháp thi công hoặc tiến độ thực hiện không phù hợp với tiến độ bố trí nhân sự hoặc không phù hợp với yêu cầu của E-HSMT.</w:t>
            </w:r>
          </w:p>
        </w:tc>
        <w:tc>
          <w:tcPr>
            <w:tcW w:w="894" w:type="pct"/>
            <w:shd w:val="clear" w:color="auto" w:fill="auto"/>
            <w:vAlign w:val="center"/>
            <w:hideMark/>
          </w:tcPr>
          <w:p w:rsidR="00A97828" w:rsidRPr="00A97828" w:rsidRDefault="00A97828" w:rsidP="002275A1">
            <w:pPr>
              <w:spacing w:before="60" w:after="60"/>
              <w:jc w:val="center"/>
              <w:rPr>
                <w:b/>
                <w:bCs/>
                <w:sz w:val="28"/>
                <w:szCs w:val="28"/>
              </w:rPr>
            </w:pPr>
            <w:r w:rsidRPr="00A97828">
              <w:rPr>
                <w:b/>
                <w:bCs/>
                <w:sz w:val="28"/>
                <w:szCs w:val="28"/>
              </w:rPr>
              <w:t>Không đạt</w:t>
            </w:r>
          </w:p>
        </w:tc>
      </w:tr>
      <w:tr w:rsidR="00A97828" w:rsidRPr="00A97828" w:rsidTr="002275A1">
        <w:tc>
          <w:tcPr>
            <w:tcW w:w="5000" w:type="pct"/>
            <w:gridSpan w:val="3"/>
            <w:shd w:val="clear" w:color="auto" w:fill="auto"/>
            <w:vAlign w:val="center"/>
            <w:hideMark/>
          </w:tcPr>
          <w:p w:rsidR="00A97828" w:rsidRPr="00A97828" w:rsidRDefault="00A97828" w:rsidP="002275A1">
            <w:pPr>
              <w:spacing w:before="60" w:after="60"/>
              <w:rPr>
                <w:b/>
                <w:bCs/>
                <w:sz w:val="28"/>
                <w:szCs w:val="28"/>
              </w:rPr>
            </w:pPr>
            <w:r w:rsidRPr="00A97828">
              <w:rPr>
                <w:b/>
                <w:bCs/>
                <w:sz w:val="28"/>
                <w:szCs w:val="28"/>
              </w:rPr>
              <w:t>5. Biện pháp đảm bảo vệ sinh môi trường, an toàn lao động và phòng chống cháy nổ</w:t>
            </w:r>
          </w:p>
        </w:tc>
      </w:tr>
      <w:tr w:rsidR="00A97828" w:rsidRPr="00A97828" w:rsidTr="002275A1">
        <w:tc>
          <w:tcPr>
            <w:tcW w:w="1342" w:type="pct"/>
            <w:vMerge w:val="restart"/>
            <w:shd w:val="clear" w:color="auto" w:fill="auto"/>
            <w:vAlign w:val="center"/>
            <w:hideMark/>
          </w:tcPr>
          <w:p w:rsidR="00A97828" w:rsidRPr="00A97828" w:rsidRDefault="00A97828" w:rsidP="002275A1">
            <w:pPr>
              <w:spacing w:before="60" w:after="60"/>
              <w:rPr>
                <w:sz w:val="28"/>
                <w:szCs w:val="28"/>
              </w:rPr>
            </w:pPr>
            <w:r w:rsidRPr="00A97828">
              <w:rPr>
                <w:sz w:val="28"/>
                <w:szCs w:val="28"/>
                <w:lang w:val="nl-NL"/>
              </w:rPr>
              <w:t>Biện pháp đảm bảo vệ sinh môi trường, an toàn lao động, phòng chống cháy nổ khu vực trong quá trình thực hiện.</w:t>
            </w:r>
          </w:p>
        </w:tc>
        <w:tc>
          <w:tcPr>
            <w:tcW w:w="2764" w:type="pct"/>
            <w:shd w:val="clear" w:color="auto" w:fill="auto"/>
            <w:vAlign w:val="center"/>
            <w:hideMark/>
          </w:tcPr>
          <w:p w:rsidR="00A97828" w:rsidRPr="00A97828" w:rsidRDefault="00A97828" w:rsidP="002275A1">
            <w:pPr>
              <w:spacing w:before="60" w:after="60"/>
              <w:rPr>
                <w:sz w:val="28"/>
                <w:szCs w:val="28"/>
              </w:rPr>
            </w:pPr>
            <w:r w:rsidRPr="00A97828">
              <w:rPr>
                <w:sz w:val="28"/>
                <w:szCs w:val="28"/>
              </w:rPr>
              <w:t>Nhà thầu đề xuất giải pháp, biện pháp đảm bảo vệ sinh môi trường, an toàn lao động, phòng chống cháy nổ trong quá trình thực hiện gói thầu cụ thể, rõ ràng, khả thi, đáp ứng yêu cầu</w:t>
            </w:r>
          </w:p>
        </w:tc>
        <w:tc>
          <w:tcPr>
            <w:tcW w:w="894" w:type="pct"/>
            <w:shd w:val="clear" w:color="auto" w:fill="auto"/>
            <w:vAlign w:val="center"/>
            <w:hideMark/>
          </w:tcPr>
          <w:p w:rsidR="00A97828" w:rsidRPr="00A97828" w:rsidRDefault="00A97828" w:rsidP="002275A1">
            <w:pPr>
              <w:spacing w:before="60" w:after="60"/>
              <w:jc w:val="center"/>
              <w:rPr>
                <w:b/>
                <w:bCs/>
                <w:sz w:val="28"/>
                <w:szCs w:val="28"/>
              </w:rPr>
            </w:pPr>
            <w:r w:rsidRPr="00A97828">
              <w:rPr>
                <w:b/>
                <w:bCs/>
                <w:sz w:val="28"/>
                <w:szCs w:val="28"/>
              </w:rPr>
              <w:t>Đạt</w:t>
            </w:r>
          </w:p>
        </w:tc>
      </w:tr>
      <w:tr w:rsidR="00A97828" w:rsidRPr="00A97828" w:rsidTr="002275A1">
        <w:tc>
          <w:tcPr>
            <w:tcW w:w="1342" w:type="pct"/>
            <w:vMerge/>
            <w:vAlign w:val="center"/>
            <w:hideMark/>
          </w:tcPr>
          <w:p w:rsidR="00A97828" w:rsidRPr="00A97828" w:rsidRDefault="00A97828" w:rsidP="002275A1">
            <w:pPr>
              <w:spacing w:before="60" w:after="60"/>
              <w:jc w:val="left"/>
              <w:rPr>
                <w:sz w:val="28"/>
                <w:szCs w:val="28"/>
              </w:rPr>
            </w:pPr>
          </w:p>
        </w:tc>
        <w:tc>
          <w:tcPr>
            <w:tcW w:w="2764" w:type="pct"/>
            <w:shd w:val="clear" w:color="auto" w:fill="auto"/>
            <w:vAlign w:val="center"/>
            <w:hideMark/>
          </w:tcPr>
          <w:p w:rsidR="00A97828" w:rsidRPr="00A97828" w:rsidRDefault="00A97828" w:rsidP="002275A1">
            <w:pPr>
              <w:spacing w:before="60" w:after="60"/>
              <w:rPr>
                <w:sz w:val="28"/>
                <w:szCs w:val="28"/>
              </w:rPr>
            </w:pPr>
            <w:r w:rsidRPr="00A97828">
              <w:rPr>
                <w:sz w:val="28"/>
                <w:szCs w:val="28"/>
              </w:rPr>
              <w:t>Nhà thầu không đề xuất hoặc có đề xuất nhưng không cụ thể, không rõ ràng, không khả thi, không đáp ứng yêu cầu</w:t>
            </w:r>
          </w:p>
        </w:tc>
        <w:tc>
          <w:tcPr>
            <w:tcW w:w="894" w:type="pct"/>
            <w:shd w:val="clear" w:color="auto" w:fill="auto"/>
            <w:vAlign w:val="center"/>
            <w:hideMark/>
          </w:tcPr>
          <w:p w:rsidR="00A97828" w:rsidRPr="00A97828" w:rsidRDefault="00A97828" w:rsidP="002275A1">
            <w:pPr>
              <w:spacing w:before="60" w:after="60"/>
              <w:jc w:val="center"/>
              <w:rPr>
                <w:b/>
                <w:bCs/>
                <w:sz w:val="28"/>
                <w:szCs w:val="28"/>
              </w:rPr>
            </w:pPr>
            <w:r w:rsidRPr="00A97828">
              <w:rPr>
                <w:b/>
                <w:bCs/>
                <w:sz w:val="28"/>
                <w:szCs w:val="28"/>
              </w:rPr>
              <w:t>Không đạt</w:t>
            </w:r>
          </w:p>
        </w:tc>
      </w:tr>
      <w:tr w:rsidR="00A97828" w:rsidRPr="00A97828" w:rsidTr="002275A1">
        <w:tc>
          <w:tcPr>
            <w:tcW w:w="5000" w:type="pct"/>
            <w:gridSpan w:val="3"/>
            <w:shd w:val="clear" w:color="auto" w:fill="auto"/>
            <w:vAlign w:val="center"/>
            <w:hideMark/>
          </w:tcPr>
          <w:p w:rsidR="00A97828" w:rsidRPr="00A97828" w:rsidRDefault="00A97828" w:rsidP="002275A1">
            <w:pPr>
              <w:spacing w:before="60" w:after="60"/>
              <w:rPr>
                <w:b/>
                <w:bCs/>
                <w:sz w:val="28"/>
                <w:szCs w:val="28"/>
              </w:rPr>
            </w:pPr>
            <w:r w:rsidRPr="00A97828">
              <w:rPr>
                <w:b/>
                <w:bCs/>
                <w:sz w:val="28"/>
                <w:szCs w:val="28"/>
              </w:rPr>
              <w:t>6. Khả năng bảo hành, bảo trì.</w:t>
            </w:r>
          </w:p>
        </w:tc>
      </w:tr>
      <w:tr w:rsidR="00A97828" w:rsidRPr="00A97828" w:rsidTr="002275A1">
        <w:tc>
          <w:tcPr>
            <w:tcW w:w="1342" w:type="pct"/>
            <w:vMerge w:val="restart"/>
            <w:shd w:val="clear" w:color="auto" w:fill="auto"/>
            <w:vAlign w:val="center"/>
            <w:hideMark/>
          </w:tcPr>
          <w:p w:rsidR="00A97828" w:rsidRPr="00A97828" w:rsidRDefault="00A97828" w:rsidP="002275A1">
            <w:pPr>
              <w:spacing w:before="60" w:after="60"/>
              <w:rPr>
                <w:sz w:val="28"/>
                <w:szCs w:val="28"/>
              </w:rPr>
            </w:pPr>
            <w:r w:rsidRPr="00A97828">
              <w:rPr>
                <w:sz w:val="28"/>
                <w:szCs w:val="28"/>
                <w:lang w:val="nl-NL"/>
              </w:rPr>
              <w:t>Nhà thầu cam kết có khả năng khắc phục sự cố trong vòng 24 giờ khi có yêu cầu của Chủ đầu tư và cam kết thời gian Bảo hành 12 tháng.</w:t>
            </w:r>
          </w:p>
        </w:tc>
        <w:tc>
          <w:tcPr>
            <w:tcW w:w="2764" w:type="pct"/>
            <w:shd w:val="clear" w:color="auto" w:fill="auto"/>
            <w:vAlign w:val="center"/>
            <w:hideMark/>
          </w:tcPr>
          <w:p w:rsidR="00A97828" w:rsidRPr="00A97828" w:rsidRDefault="00A97828" w:rsidP="002275A1">
            <w:pPr>
              <w:spacing w:before="60" w:after="60"/>
              <w:rPr>
                <w:sz w:val="28"/>
                <w:szCs w:val="28"/>
              </w:rPr>
            </w:pPr>
            <w:r w:rsidRPr="00A97828">
              <w:rPr>
                <w:sz w:val="28"/>
                <w:szCs w:val="28"/>
                <w:lang w:val="nl-NL"/>
              </w:rPr>
              <w:t>Nhà thầu cam kết có khả năng khắc phục sự cố trong vòng 24 giờ khi có yêu cầu của Chủ đầu tư và cam kết thời gian Bảo hành 12 tháng.</w:t>
            </w:r>
          </w:p>
        </w:tc>
        <w:tc>
          <w:tcPr>
            <w:tcW w:w="894" w:type="pct"/>
            <w:shd w:val="clear" w:color="auto" w:fill="auto"/>
            <w:vAlign w:val="center"/>
            <w:hideMark/>
          </w:tcPr>
          <w:p w:rsidR="00A97828" w:rsidRPr="00A97828" w:rsidRDefault="00A97828" w:rsidP="002275A1">
            <w:pPr>
              <w:spacing w:before="60" w:after="60"/>
              <w:jc w:val="center"/>
              <w:rPr>
                <w:b/>
                <w:bCs/>
                <w:sz w:val="28"/>
                <w:szCs w:val="28"/>
              </w:rPr>
            </w:pPr>
            <w:r w:rsidRPr="00A97828">
              <w:rPr>
                <w:b/>
                <w:bCs/>
                <w:sz w:val="28"/>
                <w:szCs w:val="28"/>
              </w:rPr>
              <w:t>Đạt</w:t>
            </w:r>
          </w:p>
        </w:tc>
      </w:tr>
      <w:tr w:rsidR="00A97828" w:rsidRPr="00A97828" w:rsidTr="002275A1">
        <w:tc>
          <w:tcPr>
            <w:tcW w:w="1342" w:type="pct"/>
            <w:vMerge/>
            <w:vAlign w:val="center"/>
            <w:hideMark/>
          </w:tcPr>
          <w:p w:rsidR="00A97828" w:rsidRPr="00A97828" w:rsidRDefault="00A97828" w:rsidP="002275A1">
            <w:pPr>
              <w:spacing w:before="60" w:after="60"/>
              <w:jc w:val="left"/>
              <w:rPr>
                <w:sz w:val="28"/>
                <w:szCs w:val="28"/>
              </w:rPr>
            </w:pPr>
          </w:p>
        </w:tc>
        <w:tc>
          <w:tcPr>
            <w:tcW w:w="2764" w:type="pct"/>
            <w:shd w:val="clear" w:color="auto" w:fill="auto"/>
            <w:vAlign w:val="center"/>
            <w:hideMark/>
          </w:tcPr>
          <w:p w:rsidR="00A97828" w:rsidRPr="00A97828" w:rsidRDefault="00A97828" w:rsidP="002275A1">
            <w:pPr>
              <w:spacing w:before="60" w:after="60"/>
              <w:rPr>
                <w:sz w:val="28"/>
                <w:szCs w:val="28"/>
              </w:rPr>
            </w:pPr>
            <w:r w:rsidRPr="00A97828">
              <w:rPr>
                <w:sz w:val="28"/>
                <w:szCs w:val="28"/>
                <w:lang w:val="nl-NL"/>
              </w:rPr>
              <w:t>Nhà thầu không cam kết có khả năng khắc phục sự cố trong vòng 24 giờ khi có yêu cầu của Chủ đầu tư và không cam kết thời gian Bảo hành 12 tháng.</w:t>
            </w:r>
          </w:p>
        </w:tc>
        <w:tc>
          <w:tcPr>
            <w:tcW w:w="894" w:type="pct"/>
            <w:shd w:val="clear" w:color="auto" w:fill="auto"/>
            <w:vAlign w:val="center"/>
            <w:hideMark/>
          </w:tcPr>
          <w:p w:rsidR="00A97828" w:rsidRPr="00A97828" w:rsidRDefault="00A97828" w:rsidP="002275A1">
            <w:pPr>
              <w:spacing w:before="60" w:after="60"/>
              <w:jc w:val="center"/>
              <w:rPr>
                <w:b/>
                <w:bCs/>
                <w:sz w:val="28"/>
                <w:szCs w:val="28"/>
              </w:rPr>
            </w:pPr>
            <w:r w:rsidRPr="00A97828">
              <w:rPr>
                <w:b/>
                <w:bCs/>
                <w:sz w:val="28"/>
                <w:szCs w:val="28"/>
              </w:rPr>
              <w:t>Không đạt</w:t>
            </w:r>
          </w:p>
        </w:tc>
      </w:tr>
      <w:tr w:rsidR="00A97828" w:rsidRPr="00A97828" w:rsidTr="002275A1">
        <w:tc>
          <w:tcPr>
            <w:tcW w:w="5000" w:type="pct"/>
            <w:gridSpan w:val="3"/>
            <w:shd w:val="clear" w:color="auto" w:fill="auto"/>
            <w:vAlign w:val="center"/>
            <w:hideMark/>
          </w:tcPr>
          <w:p w:rsidR="00A97828" w:rsidRPr="00A97828" w:rsidRDefault="00A97828" w:rsidP="002275A1">
            <w:pPr>
              <w:spacing w:before="60" w:after="60"/>
              <w:rPr>
                <w:b/>
                <w:bCs/>
                <w:sz w:val="28"/>
                <w:szCs w:val="28"/>
              </w:rPr>
            </w:pPr>
            <w:r w:rsidRPr="00A97828">
              <w:rPr>
                <w:b/>
                <w:bCs/>
                <w:sz w:val="28"/>
                <w:szCs w:val="28"/>
              </w:rPr>
              <w:t>7. Uy tín của nhà thầu thông qua việc tham dự thầu (không thương thảo hợp đồng, có quyết định trúng thầu nhưng không tiến hành hoàn thiện, ký kết hợp đồng) và thực hiện các hợp đồng tương tự trước đó.</w:t>
            </w:r>
          </w:p>
        </w:tc>
      </w:tr>
      <w:tr w:rsidR="00A97828" w:rsidRPr="00A97828" w:rsidTr="002275A1">
        <w:tc>
          <w:tcPr>
            <w:tcW w:w="1342" w:type="pct"/>
            <w:vMerge w:val="restart"/>
            <w:shd w:val="clear" w:color="auto" w:fill="auto"/>
            <w:vAlign w:val="center"/>
          </w:tcPr>
          <w:p w:rsidR="00A97828" w:rsidRPr="00A97828" w:rsidRDefault="00A97828" w:rsidP="002275A1">
            <w:pPr>
              <w:spacing w:before="60" w:after="60"/>
              <w:rPr>
                <w:sz w:val="28"/>
                <w:szCs w:val="28"/>
              </w:rPr>
            </w:pPr>
            <w:r w:rsidRPr="00A97828">
              <w:rPr>
                <w:sz w:val="28"/>
                <w:szCs w:val="28"/>
                <w:shd w:val="clear" w:color="auto" w:fill="FFFFFF"/>
                <w:lang w:val="nl-NL"/>
              </w:rPr>
              <w:lastRenderedPageBreak/>
              <w:t>Uy tín của nhà thầu thông qua việc tham dự thầu, kết quả thực hiện các hợp đồng tương tự trước đó trong thời gian 3 năm gần đây tính đến thời điểm đóng thầu</w:t>
            </w:r>
          </w:p>
        </w:tc>
        <w:tc>
          <w:tcPr>
            <w:tcW w:w="2764" w:type="pct"/>
            <w:shd w:val="clear" w:color="auto" w:fill="auto"/>
          </w:tcPr>
          <w:p w:rsidR="00A97828" w:rsidRPr="00A97828" w:rsidRDefault="00A97828" w:rsidP="002275A1">
            <w:pPr>
              <w:spacing w:before="60" w:after="60" w:line="276" w:lineRule="auto"/>
              <w:contextualSpacing/>
              <w:rPr>
                <w:sz w:val="28"/>
                <w:szCs w:val="28"/>
              </w:rPr>
            </w:pPr>
            <w:r w:rsidRPr="00A97828">
              <w:rPr>
                <w:sz w:val="28"/>
                <w:szCs w:val="28"/>
              </w:rPr>
              <w:t xml:space="preserve">Nhà thầu có cam kết </w:t>
            </w:r>
            <w:proofErr w:type="gramStart"/>
            <w:r w:rsidRPr="00A97828">
              <w:rPr>
                <w:sz w:val="28"/>
                <w:szCs w:val="28"/>
              </w:rPr>
              <w:t>không  vi</w:t>
            </w:r>
            <w:proofErr w:type="gramEnd"/>
            <w:r w:rsidRPr="00A97828">
              <w:rPr>
                <w:sz w:val="28"/>
                <w:szCs w:val="28"/>
              </w:rPr>
              <w:t xml:space="preserve"> phạm các nội dung sau đây (Điều 17 và 18 của Nghị định số 24/2024/NĐ-CP):</w:t>
            </w:r>
          </w:p>
          <w:p w:rsidR="00A97828" w:rsidRPr="00A97828" w:rsidRDefault="00A97828" w:rsidP="002275A1">
            <w:pPr>
              <w:spacing w:before="60" w:after="60" w:line="276" w:lineRule="auto"/>
              <w:contextualSpacing/>
              <w:rPr>
                <w:sz w:val="28"/>
                <w:szCs w:val="28"/>
              </w:rPr>
            </w:pPr>
            <w:r w:rsidRPr="00A97828">
              <w:rPr>
                <w:sz w:val="28"/>
                <w:szCs w:val="28"/>
              </w:rPr>
              <w:t>- Nhà thầu không tiến hành hoặc từ chối đối chiếu tài liệu, thương thảo hợp đồng (nếu có) trong thời gian có hiệu lực của hồ sơ dự thầu, hồ sơ đề xuất khi được mời vào đối chiếu tài liệu, thương thảo hợp đồng (nếu có).</w:t>
            </w:r>
          </w:p>
          <w:p w:rsidR="00A97828" w:rsidRPr="00A97828" w:rsidRDefault="00A97828" w:rsidP="002275A1">
            <w:pPr>
              <w:spacing w:before="60" w:after="60" w:line="276" w:lineRule="auto"/>
              <w:contextualSpacing/>
              <w:rPr>
                <w:sz w:val="28"/>
                <w:szCs w:val="28"/>
              </w:rPr>
            </w:pPr>
            <w:r w:rsidRPr="00A97828">
              <w:rPr>
                <w:sz w:val="28"/>
                <w:szCs w:val="28"/>
              </w:rPr>
              <w:t>- Nhà thầu đã đối chiếu tài liệu, thương thảo hợp đồng (nếu có) nhưng từ chối hoặc không ký kết biên bản thương thảo hợp đồng, trừ trường hợp quy định tại khoản 8 Điều 43 của Nghị định 24/2024/NĐ-CP;</w:t>
            </w:r>
          </w:p>
          <w:p w:rsidR="00A97828" w:rsidRPr="00A97828" w:rsidRDefault="00A97828" w:rsidP="002275A1">
            <w:pPr>
              <w:spacing w:before="60" w:after="60" w:line="276" w:lineRule="auto"/>
              <w:contextualSpacing/>
              <w:rPr>
                <w:sz w:val="28"/>
                <w:szCs w:val="28"/>
              </w:rPr>
            </w:pPr>
            <w:r w:rsidRPr="00A97828">
              <w:rPr>
                <w:sz w:val="28"/>
                <w:szCs w:val="28"/>
              </w:rPr>
              <w:t>- Nhà thầu được lựa chọn trúng thầu nhưng không tiến hành hoặc từ chối tiến hành hoàn thiện hợp đồng, thỏa thuận khung hoặc không ký kết hợp đồng, thỏa thuận khung;</w:t>
            </w:r>
          </w:p>
          <w:p w:rsidR="00A97828" w:rsidRPr="00A97828" w:rsidRDefault="00A97828" w:rsidP="002275A1">
            <w:pPr>
              <w:spacing w:before="60" w:after="60" w:line="276" w:lineRule="auto"/>
              <w:contextualSpacing/>
              <w:rPr>
                <w:sz w:val="28"/>
                <w:szCs w:val="28"/>
              </w:rPr>
            </w:pPr>
            <w:r w:rsidRPr="00A97828">
              <w:rPr>
                <w:sz w:val="28"/>
                <w:szCs w:val="28"/>
              </w:rPr>
              <w:t>- Nhà thầu đã ký thỏa thuận khung nhưng không tiến hành hoặc từ chối hoàn thiện hợp đồng hoặc không ký kết hợp đồng.</w:t>
            </w:r>
          </w:p>
          <w:p w:rsidR="00A97828" w:rsidRPr="00A97828" w:rsidRDefault="00A97828" w:rsidP="002275A1">
            <w:pPr>
              <w:spacing w:before="60" w:after="60" w:line="276" w:lineRule="auto"/>
              <w:contextualSpacing/>
              <w:rPr>
                <w:sz w:val="28"/>
                <w:szCs w:val="28"/>
              </w:rPr>
            </w:pPr>
            <w:r w:rsidRPr="00A97828">
              <w:rPr>
                <w:sz w:val="28"/>
                <w:szCs w:val="28"/>
              </w:rPr>
              <w:t>- Nhà thầu vi phạm pháp luật về đấu thầu theo quy định của pháp luật.</w:t>
            </w:r>
          </w:p>
          <w:p w:rsidR="00A97828" w:rsidRPr="00A97828" w:rsidRDefault="00A97828" w:rsidP="002275A1">
            <w:pPr>
              <w:spacing w:before="60" w:after="60" w:line="276" w:lineRule="auto"/>
              <w:contextualSpacing/>
              <w:rPr>
                <w:sz w:val="28"/>
                <w:szCs w:val="28"/>
              </w:rPr>
            </w:pPr>
            <w:r w:rsidRPr="00A97828">
              <w:rPr>
                <w:sz w:val="28"/>
                <w:szCs w:val="28"/>
              </w:rPr>
              <w:t>- Có lịch sử vi phạm hợp đồng, chấm dứt hợp đồng do lỗi của nhà thầu.</w:t>
            </w:r>
          </w:p>
          <w:p w:rsidR="00A97828" w:rsidRPr="00A97828" w:rsidRDefault="00A97828" w:rsidP="002275A1">
            <w:pPr>
              <w:widowControl w:val="0"/>
              <w:tabs>
                <w:tab w:val="left" w:pos="851"/>
              </w:tabs>
              <w:spacing w:before="120" w:after="80"/>
              <w:ind w:left="-18"/>
              <w:rPr>
                <w:sz w:val="28"/>
                <w:szCs w:val="28"/>
              </w:rPr>
            </w:pPr>
            <w:r w:rsidRPr="00A97828">
              <w:rPr>
                <w:sz w:val="28"/>
                <w:szCs w:val="28"/>
              </w:rPr>
              <w:t>Nhà thầu phải có văn bản cam kết các nội dung nêu trên và đính kèm E-HSDT.</w:t>
            </w:r>
          </w:p>
        </w:tc>
        <w:tc>
          <w:tcPr>
            <w:tcW w:w="894" w:type="pct"/>
            <w:shd w:val="clear" w:color="auto" w:fill="auto"/>
            <w:vAlign w:val="center"/>
            <w:hideMark/>
          </w:tcPr>
          <w:p w:rsidR="00A97828" w:rsidRPr="00A97828" w:rsidRDefault="00A97828" w:rsidP="002275A1">
            <w:pPr>
              <w:spacing w:before="60" w:after="60"/>
              <w:jc w:val="center"/>
              <w:rPr>
                <w:b/>
                <w:bCs/>
                <w:sz w:val="28"/>
                <w:szCs w:val="28"/>
              </w:rPr>
            </w:pPr>
            <w:bookmarkStart w:id="0" w:name="_GoBack"/>
            <w:bookmarkEnd w:id="0"/>
            <w:r w:rsidRPr="00A97828">
              <w:rPr>
                <w:b/>
                <w:bCs/>
                <w:sz w:val="28"/>
                <w:szCs w:val="28"/>
              </w:rPr>
              <w:t>Đạt</w:t>
            </w:r>
          </w:p>
        </w:tc>
      </w:tr>
      <w:tr w:rsidR="00A97828" w:rsidRPr="00A97828" w:rsidTr="002275A1">
        <w:tc>
          <w:tcPr>
            <w:tcW w:w="1342" w:type="pct"/>
            <w:vMerge/>
          </w:tcPr>
          <w:p w:rsidR="00A97828" w:rsidRPr="00A97828" w:rsidRDefault="00A97828" w:rsidP="002275A1">
            <w:pPr>
              <w:spacing w:before="60" w:after="60"/>
              <w:jc w:val="left"/>
              <w:rPr>
                <w:sz w:val="28"/>
                <w:szCs w:val="28"/>
              </w:rPr>
            </w:pPr>
          </w:p>
        </w:tc>
        <w:tc>
          <w:tcPr>
            <w:tcW w:w="2764" w:type="pct"/>
            <w:shd w:val="clear" w:color="auto" w:fill="auto"/>
          </w:tcPr>
          <w:p w:rsidR="00A97828" w:rsidRPr="00A97828" w:rsidRDefault="00A97828" w:rsidP="002275A1">
            <w:pPr>
              <w:spacing w:before="60" w:after="60" w:line="276" w:lineRule="auto"/>
              <w:contextualSpacing/>
              <w:rPr>
                <w:sz w:val="28"/>
                <w:szCs w:val="28"/>
              </w:rPr>
            </w:pPr>
            <w:r w:rsidRPr="00A97828">
              <w:rPr>
                <w:sz w:val="28"/>
                <w:szCs w:val="28"/>
              </w:rPr>
              <w:t>Nhà thầu vi phạm một trong các tiêu chí uy tín của nhà thầu nêu bên.</w:t>
            </w:r>
          </w:p>
          <w:p w:rsidR="00A97828" w:rsidRPr="00A97828" w:rsidRDefault="00A97828" w:rsidP="002275A1">
            <w:pPr>
              <w:spacing w:before="60" w:after="60"/>
              <w:rPr>
                <w:sz w:val="28"/>
                <w:szCs w:val="28"/>
              </w:rPr>
            </w:pPr>
            <w:r w:rsidRPr="00A97828">
              <w:rPr>
                <w:sz w:val="28"/>
                <w:szCs w:val="28"/>
              </w:rPr>
              <w:t>Nhà thầu không có văn bản cam kết các nội dung nêu trên và không đính kèm trong E-HSDT</w:t>
            </w:r>
          </w:p>
        </w:tc>
        <w:tc>
          <w:tcPr>
            <w:tcW w:w="894" w:type="pct"/>
            <w:shd w:val="clear" w:color="auto" w:fill="auto"/>
            <w:vAlign w:val="center"/>
            <w:hideMark/>
          </w:tcPr>
          <w:p w:rsidR="00A97828" w:rsidRPr="00A97828" w:rsidRDefault="00A97828" w:rsidP="002275A1">
            <w:pPr>
              <w:spacing w:before="60" w:after="60"/>
              <w:jc w:val="center"/>
              <w:rPr>
                <w:b/>
                <w:bCs/>
                <w:sz w:val="28"/>
                <w:szCs w:val="28"/>
              </w:rPr>
            </w:pPr>
            <w:r w:rsidRPr="00A97828">
              <w:rPr>
                <w:b/>
                <w:bCs/>
                <w:sz w:val="28"/>
                <w:szCs w:val="28"/>
              </w:rPr>
              <w:t>Không đạt</w:t>
            </w:r>
          </w:p>
        </w:tc>
      </w:tr>
      <w:tr w:rsidR="00A97828" w:rsidRPr="00A97828" w:rsidTr="002275A1">
        <w:tc>
          <w:tcPr>
            <w:tcW w:w="1342" w:type="pct"/>
            <w:vMerge w:val="restart"/>
            <w:shd w:val="clear" w:color="auto" w:fill="auto"/>
            <w:vAlign w:val="center"/>
            <w:hideMark/>
          </w:tcPr>
          <w:p w:rsidR="00A97828" w:rsidRPr="00A97828" w:rsidRDefault="00A97828" w:rsidP="002275A1">
            <w:pPr>
              <w:spacing w:before="60" w:after="60"/>
              <w:jc w:val="center"/>
              <w:rPr>
                <w:b/>
                <w:bCs/>
                <w:sz w:val="28"/>
                <w:szCs w:val="28"/>
              </w:rPr>
            </w:pPr>
            <w:r w:rsidRPr="00A97828">
              <w:rPr>
                <w:b/>
                <w:bCs/>
                <w:sz w:val="28"/>
                <w:szCs w:val="28"/>
              </w:rPr>
              <w:t>Kết luận</w:t>
            </w:r>
          </w:p>
        </w:tc>
        <w:tc>
          <w:tcPr>
            <w:tcW w:w="2764" w:type="pct"/>
            <w:shd w:val="clear" w:color="auto" w:fill="auto"/>
            <w:vAlign w:val="center"/>
            <w:hideMark/>
          </w:tcPr>
          <w:p w:rsidR="00A97828" w:rsidRPr="00A97828" w:rsidRDefault="00A97828" w:rsidP="002275A1">
            <w:pPr>
              <w:spacing w:before="60" w:after="60"/>
              <w:jc w:val="left"/>
              <w:rPr>
                <w:sz w:val="28"/>
                <w:szCs w:val="28"/>
              </w:rPr>
            </w:pPr>
            <w:r w:rsidRPr="00A97828">
              <w:rPr>
                <w:sz w:val="28"/>
                <w:szCs w:val="28"/>
              </w:rPr>
              <w:t>Tất cả các tiêu chí được đánh giá là Đạt thì E-HSDT cuả Nhà thầu được đánh giá là Đạt và được xem xét đánh giá về Tài chính</w:t>
            </w:r>
          </w:p>
        </w:tc>
        <w:tc>
          <w:tcPr>
            <w:tcW w:w="894" w:type="pct"/>
            <w:shd w:val="clear" w:color="auto" w:fill="auto"/>
            <w:vAlign w:val="center"/>
            <w:hideMark/>
          </w:tcPr>
          <w:p w:rsidR="00A97828" w:rsidRPr="00A97828" w:rsidRDefault="00A97828" w:rsidP="002275A1">
            <w:pPr>
              <w:spacing w:before="60" w:after="60"/>
              <w:jc w:val="center"/>
              <w:rPr>
                <w:b/>
                <w:bCs/>
                <w:sz w:val="28"/>
                <w:szCs w:val="28"/>
              </w:rPr>
            </w:pPr>
            <w:r w:rsidRPr="00A97828">
              <w:rPr>
                <w:b/>
                <w:bCs/>
                <w:sz w:val="28"/>
                <w:szCs w:val="28"/>
              </w:rPr>
              <w:t>Đạt</w:t>
            </w:r>
          </w:p>
        </w:tc>
      </w:tr>
      <w:tr w:rsidR="00A97828" w:rsidRPr="00A97828" w:rsidTr="002275A1">
        <w:tc>
          <w:tcPr>
            <w:tcW w:w="1342" w:type="pct"/>
            <w:vMerge/>
            <w:vAlign w:val="center"/>
            <w:hideMark/>
          </w:tcPr>
          <w:p w:rsidR="00A97828" w:rsidRPr="00A97828" w:rsidRDefault="00A97828" w:rsidP="002275A1">
            <w:pPr>
              <w:spacing w:before="60" w:after="60"/>
              <w:jc w:val="left"/>
              <w:rPr>
                <w:b/>
                <w:bCs/>
                <w:sz w:val="28"/>
                <w:szCs w:val="28"/>
              </w:rPr>
            </w:pPr>
          </w:p>
        </w:tc>
        <w:tc>
          <w:tcPr>
            <w:tcW w:w="2764" w:type="pct"/>
            <w:shd w:val="clear" w:color="auto" w:fill="auto"/>
            <w:vAlign w:val="center"/>
            <w:hideMark/>
          </w:tcPr>
          <w:p w:rsidR="00A97828" w:rsidRPr="00A97828" w:rsidRDefault="00A97828" w:rsidP="002275A1">
            <w:pPr>
              <w:spacing w:before="60" w:after="60"/>
              <w:jc w:val="left"/>
              <w:rPr>
                <w:sz w:val="28"/>
                <w:szCs w:val="28"/>
              </w:rPr>
            </w:pPr>
            <w:r w:rsidRPr="00A97828">
              <w:rPr>
                <w:sz w:val="28"/>
                <w:szCs w:val="28"/>
              </w:rPr>
              <w:t>Không thuộc các trường hợp nêu trên</w:t>
            </w:r>
          </w:p>
        </w:tc>
        <w:tc>
          <w:tcPr>
            <w:tcW w:w="894" w:type="pct"/>
            <w:shd w:val="clear" w:color="auto" w:fill="auto"/>
            <w:vAlign w:val="center"/>
            <w:hideMark/>
          </w:tcPr>
          <w:p w:rsidR="00A97828" w:rsidRPr="00A97828" w:rsidRDefault="00A97828" w:rsidP="002275A1">
            <w:pPr>
              <w:spacing w:before="60" w:after="60"/>
              <w:jc w:val="center"/>
              <w:rPr>
                <w:b/>
                <w:bCs/>
                <w:sz w:val="28"/>
                <w:szCs w:val="28"/>
              </w:rPr>
            </w:pPr>
            <w:r w:rsidRPr="00A97828">
              <w:rPr>
                <w:b/>
                <w:bCs/>
                <w:sz w:val="28"/>
                <w:szCs w:val="28"/>
              </w:rPr>
              <w:t>Không đạt</w:t>
            </w:r>
          </w:p>
        </w:tc>
      </w:tr>
    </w:tbl>
    <w:p w:rsidR="008B67A6" w:rsidRPr="00A97828" w:rsidRDefault="008B67A6"/>
    <w:sectPr w:rsidR="008B67A6" w:rsidRPr="00A978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828"/>
    <w:rsid w:val="008B67A6"/>
    <w:rsid w:val="00A97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D653D6-41F9-4DDD-8502-0C96CA5E4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828"/>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A97828"/>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2025-02-24T09:10:00Z</dcterms:created>
  <dcterms:modified xsi:type="dcterms:W3CDTF">2025-02-24T09:11:00Z</dcterms:modified>
</cp:coreProperties>
</file>